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D00EF" w:rsidTr="00A47719">
        <w:tc>
          <w:tcPr>
            <w:tcW w:w="3934" w:type="dxa"/>
          </w:tcPr>
          <w:p w:rsidR="006D00EF" w:rsidRPr="006D00EF" w:rsidRDefault="0063547B" w:rsidP="006354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 w:rsidR="006D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EF" w:rsidRPr="006D00EF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</w:t>
            </w:r>
            <w:r w:rsidR="006D00E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</w:t>
            </w:r>
            <w:r w:rsidR="006D00EF" w:rsidRPr="006D00E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D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EF" w:rsidRPr="006D00E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6D00E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 </w:t>
            </w:r>
            <w:r w:rsidR="006D00EF" w:rsidRPr="006D00EF">
              <w:rPr>
                <w:rFonts w:ascii="Times New Roman" w:hAnsi="Times New Roman" w:cs="Times New Roman"/>
                <w:sz w:val="24"/>
                <w:szCs w:val="24"/>
              </w:rPr>
              <w:t>на 2014 - 2020 годы</w:t>
            </w:r>
          </w:p>
          <w:p w:rsidR="006D00EF" w:rsidRDefault="006D00EF" w:rsidP="006D00E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0EF" w:rsidRDefault="006D00EF" w:rsidP="006D00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39B" w:rsidRPr="006D00EF" w:rsidRDefault="007C139B" w:rsidP="006D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63547B" w:rsidRDefault="007C139B" w:rsidP="006D00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6304"/>
      <w:bookmarkEnd w:id="0"/>
      <w:r w:rsidRPr="0063547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C139B" w:rsidRPr="0063547B" w:rsidRDefault="0063547B" w:rsidP="006D0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7B">
        <w:rPr>
          <w:rFonts w:ascii="Times New Roman" w:hAnsi="Times New Roman" w:cs="Times New Roman"/>
          <w:b/>
          <w:sz w:val="28"/>
          <w:szCs w:val="28"/>
        </w:rPr>
        <w:t>ПОДПРОГРАММЫ «ЧИСТАЯ ВОДА»</w:t>
      </w:r>
      <w:r w:rsidR="007C139B" w:rsidRPr="0063547B">
        <w:rPr>
          <w:rFonts w:ascii="Times New Roman" w:hAnsi="Times New Roman" w:cs="Times New Roman"/>
          <w:b/>
          <w:sz w:val="28"/>
          <w:szCs w:val="28"/>
        </w:rPr>
        <w:t xml:space="preserve"> НА 2020 - 2025 ГОДЫ</w:t>
      </w:r>
    </w:p>
    <w:p w:rsidR="007C139B" w:rsidRPr="0063547B" w:rsidRDefault="007C139B" w:rsidP="006354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7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63547B" w:rsidRPr="0063547B">
        <w:rPr>
          <w:rFonts w:ascii="Times New Roman" w:hAnsi="Times New Roman" w:cs="Times New Roman"/>
          <w:b/>
          <w:sz w:val="28"/>
          <w:szCs w:val="28"/>
        </w:rPr>
        <w:t>ОЙ ПРОГРАММЫ ИРКУТСКОЙ ОБЛАСТИ «</w:t>
      </w:r>
      <w:r w:rsidRPr="0063547B">
        <w:rPr>
          <w:rFonts w:ascii="Times New Roman" w:hAnsi="Times New Roman" w:cs="Times New Roman"/>
          <w:b/>
          <w:sz w:val="28"/>
          <w:szCs w:val="28"/>
        </w:rPr>
        <w:t>РАЗВИТИЕЖ</w:t>
      </w:r>
      <w:r w:rsidR="0063547B" w:rsidRPr="00635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7B">
        <w:rPr>
          <w:rFonts w:ascii="Times New Roman" w:hAnsi="Times New Roman" w:cs="Times New Roman"/>
          <w:b/>
          <w:sz w:val="28"/>
          <w:szCs w:val="28"/>
        </w:rPr>
        <w:t>ИЛИЩНО-КОММУНАЛЬН</w:t>
      </w:r>
      <w:r w:rsidR="0063547B" w:rsidRPr="0063547B">
        <w:rPr>
          <w:rFonts w:ascii="Times New Roman" w:hAnsi="Times New Roman" w:cs="Times New Roman"/>
          <w:b/>
          <w:sz w:val="28"/>
          <w:szCs w:val="28"/>
        </w:rPr>
        <w:t xml:space="preserve">ОГО ХОЗЯЙСТВА ИРКУТСКОЙ ОБЛАСТИ» </w:t>
      </w:r>
      <w:r w:rsidRPr="0063547B">
        <w:rPr>
          <w:rFonts w:ascii="Times New Roman" w:hAnsi="Times New Roman" w:cs="Times New Roman"/>
          <w:b/>
          <w:sz w:val="28"/>
          <w:szCs w:val="28"/>
        </w:rPr>
        <w:t>НА 2014 - 2020 ГОДЫ (ДАЛЕЕ СООТВЕТСТВЕННО - ПОДПРОГРАММА,</w:t>
      </w:r>
      <w:r w:rsidR="0063547B" w:rsidRPr="00635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7B">
        <w:rPr>
          <w:rFonts w:ascii="Times New Roman" w:hAnsi="Times New Roman" w:cs="Times New Roman"/>
          <w:b/>
          <w:sz w:val="28"/>
          <w:szCs w:val="28"/>
        </w:rPr>
        <w:t>ГОСУДАРСТВЕННАЯ ПРОГРАММА)</w:t>
      </w:r>
    </w:p>
    <w:p w:rsidR="0063547B" w:rsidRPr="00700526" w:rsidRDefault="0063547B" w:rsidP="006354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6523"/>
      </w:tblGrid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государственной программы 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«Развитие жилищно-коммунального хозяйства и повышение энергоэффективности Иркутской области»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«</w:t>
            </w:r>
            <w:r w:rsidRPr="00C901AB">
              <w:rPr>
                <w:rFonts w:ascii="Times New Roman" w:hAnsi="Times New Roman"/>
                <w:sz w:val="28"/>
                <w:szCs w:val="28"/>
              </w:rPr>
              <w:t>Чистая вода й области» на 2019 - 2023 годы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строительства и жилищно-коммунального хозяйства Иркутской области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жилищной политики, энергетики и транспорта Иркутской области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питьевой водой, соответствующей установленным требованиям безопасности и безвредности </w:t>
            </w:r>
            <w:proofErr w:type="spellStart"/>
            <w:r w:rsidRPr="00C901AB">
              <w:rPr>
                <w:rFonts w:ascii="Times New Roman" w:hAnsi="Times New Roman"/>
                <w:sz w:val="28"/>
                <w:szCs w:val="28"/>
              </w:rPr>
              <w:t>асти</w:t>
            </w:r>
            <w:proofErr w:type="spellEnd"/>
            <w:r w:rsidRPr="00C901AB">
              <w:rPr>
                <w:rFonts w:ascii="Times New Roman" w:hAnsi="Times New Roman"/>
                <w:sz w:val="28"/>
                <w:szCs w:val="28"/>
              </w:rPr>
              <w:t>, в том числе в качестве моторного топлива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1. Развитие и модернизация объектов водоснабжения, водоотведения и очистки сточных вод.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2. Организация нецентрализованного холодного водоснабжения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2019-2023 годы</w:t>
            </w:r>
          </w:p>
        </w:tc>
      </w:tr>
      <w:tr w:rsidR="0063547B" w:rsidRPr="00C901AB" w:rsidTr="009B64F6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445" w:type="pct"/>
          </w:tcPr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1. Удельный вес проб воды, отбор которых произведен из систем централизованного холодного водоснабжения и которые не отвечают гигиеническим нормативам по санитарно-химическим показателям.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 xml:space="preserve">2. Удельный вес проб воды, отбор которых произведен из систем нецентрализованного холодного водоснабжения и которые не отвечают </w:t>
            </w:r>
            <w:r w:rsidRPr="00C9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гигиеническим нормативам по санитарно-химическим показателям.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3. Удельный вес проб воды, отбор которых произведен из систем централизованного холодного водоснабжения и которые не отвечают гигиеническим нормативам по микробиологическим показателям.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4. Удельный вес проб воды, отбор которых произведен из систем нецентрализованного холодного водоснабжения и которые не отвечают гигиеническим нормативам по микробиологическим показателям.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5. Доля населения, обеспеченного питьевой водой, отвечающей требованиям безопасности, в общей численности населения.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6. Сокращение объемов сбросов загрязненных сточных вод в водные объекты Байкальской природной территории.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7. Мощность объектов капитального строительства.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8. Прирост мощности объектов капитального строительства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1. Развитие и модернизация объектов водоснабжения, водоотведения и очистки сточных вод.</w:t>
            </w:r>
          </w:p>
          <w:p w:rsidR="0063547B" w:rsidRPr="00C901AB" w:rsidRDefault="0063547B" w:rsidP="00C9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sz w:val="28"/>
                <w:szCs w:val="28"/>
              </w:rPr>
              <w:t>2. Организация нецентрализованного холодного водоснабжения</w:t>
            </w:r>
            <w:r w:rsidRPr="00C901A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3445" w:type="pct"/>
            <w:vAlign w:val="center"/>
          </w:tcPr>
          <w:p w:rsidR="0063547B" w:rsidRPr="00C901AB" w:rsidRDefault="0063547B" w:rsidP="00C9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не содержит ведомственные целевые программы</w:t>
            </w:r>
          </w:p>
        </w:tc>
      </w:tr>
      <w:tr w:rsidR="0063547B" w:rsidRPr="00C901AB" w:rsidTr="006E5F7E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445" w:type="pct"/>
            <w:vAlign w:val="center"/>
          </w:tcPr>
          <w:p w:rsidR="0063547B" w:rsidRPr="00CA176B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финансирования, в том числе:</w:t>
            </w:r>
          </w:p>
          <w:p w:rsidR="0063547B" w:rsidRPr="00CA176B" w:rsidRDefault="00CA176B" w:rsidP="00C901A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– 1 660 956,9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63547B" w:rsidRPr="00CA176B" w:rsidRDefault="00CA176B" w:rsidP="00C901A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2020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год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– 1 656 272,9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63547B" w:rsidRPr="00CA176B" w:rsidRDefault="00CA176B" w:rsidP="00C901A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2021 год – 508 667,9 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рублей;</w:t>
            </w:r>
          </w:p>
          <w:p w:rsidR="0063547B" w:rsidRPr="00CA176B" w:rsidRDefault="00CA176B" w:rsidP="00C901A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2022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год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–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508 667,9 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рублей;</w:t>
            </w:r>
          </w:p>
          <w:p w:rsidR="0063547B" w:rsidRPr="00CA176B" w:rsidRDefault="00CA176B" w:rsidP="00C901A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2023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год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–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508 667,9 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рублей;</w:t>
            </w:r>
          </w:p>
          <w:p w:rsidR="0063547B" w:rsidRPr="00CA176B" w:rsidRDefault="00CA176B" w:rsidP="00C901AB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2024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год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–</w:t>
            </w:r>
            <w:r w:rsidR="0063547B"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508 667,9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рублей.</w:t>
            </w:r>
          </w:p>
          <w:p w:rsidR="00E32430" w:rsidRPr="00CA176B" w:rsidRDefault="00E32430" w:rsidP="00E32430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 за счет средств федерального бюджета, в том числе:</w:t>
            </w:r>
          </w:p>
          <w:p w:rsidR="00CA176B" w:rsidRPr="00CA176B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– 1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 147 605,0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CA176B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2020 год – 1 147 605,0  тыс. рублей;</w:t>
            </w:r>
          </w:p>
          <w:p w:rsidR="00CA176B" w:rsidRPr="00CA176B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2021 год –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0,0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CA176B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2022 год –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0,0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CA176B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2023 год –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0,0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CA176B" w:rsidRDefault="00CA176B" w:rsidP="00CA176B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lastRenderedPageBreak/>
              <w:t xml:space="preserve">2024 год –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0,0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CA176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рублей.</w:t>
            </w:r>
          </w:p>
          <w:p w:rsidR="0063547B" w:rsidRPr="00702A18" w:rsidRDefault="0063547B" w:rsidP="00C901A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 за счет средств областного бюджета, в том числе:</w:t>
            </w:r>
          </w:p>
          <w:p w:rsidR="00CA176B" w:rsidRPr="00702A18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–</w:t>
            </w:r>
            <w:r w:rsidR="00702A18"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427 687,8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702A18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2020 год – </w:t>
            </w:r>
            <w:r w:rsidR="00702A18"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425 345,8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702A18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2021 год – </w:t>
            </w:r>
            <w:r w:rsidR="00702A18"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425 345,8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CA176B" w:rsidRPr="00702A18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2022 год – </w:t>
            </w:r>
            <w:r w:rsidR="00702A18"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425 345,8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рублей;</w:t>
            </w:r>
          </w:p>
          <w:p w:rsidR="00CA176B" w:rsidRPr="00702A18" w:rsidRDefault="00CA176B" w:rsidP="00CA176B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2023 год – </w:t>
            </w:r>
            <w:r w:rsidR="00702A18"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425 345,8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рублей;</w:t>
            </w:r>
          </w:p>
          <w:p w:rsidR="00CA176B" w:rsidRPr="00702A18" w:rsidRDefault="00CA176B" w:rsidP="00CA176B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2024 год – </w:t>
            </w:r>
            <w:r w:rsidR="00702A18"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425 345,8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тыс. рублей.</w:t>
            </w:r>
          </w:p>
          <w:p w:rsidR="0063547B" w:rsidRPr="00702A18" w:rsidRDefault="0063547B" w:rsidP="00C901AB">
            <w:pPr>
              <w:tabs>
                <w:tab w:val="left" w:pos="314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 финансирования за счет планируемых средств местного бюджета:</w:t>
            </w:r>
          </w:p>
          <w:p w:rsidR="00702A18" w:rsidRPr="00702A18" w:rsidRDefault="00702A18" w:rsidP="00702A18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2019 год –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85 664,1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702A18" w:rsidRPr="00702A18" w:rsidRDefault="00702A18" w:rsidP="00702A18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2020 год –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83 322,1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702A18" w:rsidRPr="00702A18" w:rsidRDefault="00702A18" w:rsidP="00702A18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2021 год – 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83 322,1</w:t>
            </w: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тыс. рублей;</w:t>
            </w:r>
          </w:p>
          <w:p w:rsidR="00702A18" w:rsidRPr="00702A18" w:rsidRDefault="00702A18" w:rsidP="00702A18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2022 год – 83 322,1 тыс. рублей;</w:t>
            </w:r>
          </w:p>
          <w:p w:rsidR="00702A18" w:rsidRPr="00702A18" w:rsidRDefault="00702A18" w:rsidP="00702A18">
            <w:pPr>
              <w:tabs>
                <w:tab w:val="left" w:pos="455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2023 год – 83 322,1 тыс. рублей;</w:t>
            </w:r>
          </w:p>
          <w:p w:rsidR="0063547B" w:rsidRPr="00702A18" w:rsidRDefault="00702A18" w:rsidP="00C901AB">
            <w:pPr>
              <w:widowControl w:val="0"/>
              <w:suppressLineNumbers/>
              <w:suppressAutoHyphens/>
              <w:spacing w:after="0" w:line="240" w:lineRule="auto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2024 год – 83 322,1 тыс. рублей.</w:t>
            </w:r>
          </w:p>
          <w:p w:rsidR="0063547B" w:rsidRPr="00C901AB" w:rsidRDefault="0063547B" w:rsidP="00C901AB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02A18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Объемы финансирования подпрограммы ежегодно уточняются при формировании областного бюджета на очередной финансовый год, исходя из возможностей областного бюджета и затрат, необходимых для реализации подпрограммы</w:t>
            </w:r>
          </w:p>
        </w:tc>
      </w:tr>
      <w:tr w:rsidR="0063547B" w:rsidRPr="00C901AB" w:rsidTr="00C1410D">
        <w:trPr>
          <w:trHeight w:val="245"/>
        </w:trPr>
        <w:tc>
          <w:tcPr>
            <w:tcW w:w="1555" w:type="pct"/>
          </w:tcPr>
          <w:p w:rsidR="0063547B" w:rsidRPr="00C901AB" w:rsidRDefault="0063547B" w:rsidP="00C901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45" w:type="pct"/>
          </w:tcPr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5. Доля населения, обеспеченного питьевой водой, отвечающей требованиям безопасности, в об</w:t>
            </w:r>
            <w:r w:rsidR="00614A4C">
              <w:rPr>
                <w:rFonts w:ascii="Times New Roman" w:hAnsi="Times New Roman" w:cs="Times New Roman"/>
                <w:sz w:val="28"/>
                <w:szCs w:val="28"/>
              </w:rPr>
              <w:t xml:space="preserve">щей численности населения – </w:t>
            </w:r>
            <w:r w:rsidR="00614A4C" w:rsidRPr="00614A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91,9</w:t>
            </w: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6. Сокращение объемов сбросов загрязненных сточных вод в водные объекты Байкальс</w:t>
            </w:r>
            <w:r w:rsidR="00614A4C">
              <w:rPr>
                <w:rFonts w:ascii="Times New Roman" w:hAnsi="Times New Roman" w:cs="Times New Roman"/>
                <w:sz w:val="28"/>
                <w:szCs w:val="28"/>
              </w:rPr>
              <w:t xml:space="preserve">кой природной территории до </w:t>
            </w:r>
            <w:r w:rsidR="00614A4C" w:rsidRPr="00614A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33,6</w:t>
            </w: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3547B" w:rsidRPr="00C901AB" w:rsidRDefault="0063547B" w:rsidP="00C9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>7. Прирост мощности объектов</w:t>
            </w:r>
            <w:r w:rsidR="00614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4A4C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gramEnd"/>
            <w:r w:rsidR="00614A4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- </w:t>
            </w:r>
            <w:r w:rsidR="00614A4C" w:rsidRPr="00614A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 xml:space="preserve"> тыс. м</w:t>
            </w:r>
            <w:r w:rsidRPr="00C901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901AB"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</w:tr>
    </w:tbl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1. ЦЕЛЬ И ЗАДАЧИ ПОДПРОГРАММЫ, ЦЕЛЕВЫЕ ПОКАЗАТЕЛИ</w:t>
      </w:r>
    </w:p>
    <w:p w:rsidR="007C139B" w:rsidRPr="00C901AB" w:rsidRDefault="007C139B" w:rsidP="00C90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ПОДПРОГРАММЫ, СРОКИ РЕАЛИЗАЦИИ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Подпрограмма содержит комплекс задач по созданию условий для достижения цели подпрограммы,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Подпрограмма разрабатывается с учетом основных целей </w:t>
      </w:r>
      <w:hyperlink r:id="rId5" w:history="1">
        <w:r w:rsidRPr="00C901A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901A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Иркутской области на 2011 - 2015 годы, утвержденной Законом Иркутской о</w:t>
      </w:r>
      <w:r w:rsidR="003F6843" w:rsidRPr="00C901AB">
        <w:rPr>
          <w:rFonts w:ascii="Times New Roman" w:hAnsi="Times New Roman" w:cs="Times New Roman"/>
          <w:sz w:val="28"/>
          <w:szCs w:val="28"/>
        </w:rPr>
        <w:t xml:space="preserve">бласти от 31 декабря 2010 года </w:t>
      </w:r>
      <w:r w:rsidR="00362D0F" w:rsidRPr="00C901AB">
        <w:rPr>
          <w:rFonts w:ascii="Times New Roman" w:hAnsi="Times New Roman" w:cs="Times New Roman"/>
          <w:sz w:val="28"/>
          <w:szCs w:val="28"/>
        </w:rPr>
        <w:t xml:space="preserve"> </w:t>
      </w:r>
      <w:r w:rsidR="003F6843" w:rsidRPr="00C901AB">
        <w:rPr>
          <w:rFonts w:ascii="Times New Roman" w:hAnsi="Times New Roman" w:cs="Times New Roman"/>
          <w:sz w:val="28"/>
          <w:szCs w:val="28"/>
        </w:rPr>
        <w:t>№</w:t>
      </w:r>
      <w:r w:rsidRPr="00C901AB">
        <w:rPr>
          <w:rFonts w:ascii="Times New Roman" w:hAnsi="Times New Roman" w:cs="Times New Roman"/>
          <w:sz w:val="28"/>
          <w:szCs w:val="28"/>
        </w:rPr>
        <w:t xml:space="preserve"> 143-ОЗ, таких как: повышение качества челове</w:t>
      </w:r>
      <w:bookmarkStart w:id="1" w:name="_GoBack"/>
      <w:bookmarkEnd w:id="1"/>
      <w:r w:rsidRPr="00C901AB">
        <w:rPr>
          <w:rFonts w:ascii="Times New Roman" w:hAnsi="Times New Roman" w:cs="Times New Roman"/>
          <w:sz w:val="28"/>
          <w:szCs w:val="28"/>
        </w:rPr>
        <w:t xml:space="preserve">ческого потенциала (цель 1, задача 2), обеспечение пространственного и инфраструктурного развития Иркутской области (цель 3, задача 3), для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которых ставится задача повышения качества предоставляемых коммунальных услуг, а также </w:t>
      </w:r>
      <w:r w:rsidRPr="00C901AB">
        <w:rPr>
          <w:rFonts w:ascii="Times New Roman" w:hAnsi="Times New Roman" w:cs="Times New Roman"/>
          <w:sz w:val="28"/>
          <w:szCs w:val="28"/>
        </w:rPr>
        <w:lastRenderedPageBreak/>
        <w:t>Системой целеполагания социально-экономического развития Иркутской области верхнего уровня.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Иркутской области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1. Развитие и модернизация объектов водоснабжения, водоотведения и очистки сточных вод.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2. Организация нецентрализованного холодного водоснабжения.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Указанные задачи являются необходимыми и достаточными для достижения цели подпрограммы и направлены на стимулирование притока долгосрочных внебюджетных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Достижение цели будет обеспечено путем достижения следующих целевых показателей: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1. Удельный вес проб воды, отбор которых произведен из систем централизованного холодного водоснабжения и которые не отвечают гигиеническим нормативам по санитарно-химическим показателям.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2. Удельный вес проб воды, отбор которых произведен из систем нецентрализованного холодного водоснабжения и которые не отвечают гигиеническим нормативам по санитарно-химическим показателям.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3. Удельный вес проб воды, отбор которых произведен из систем централизованного холодного водоснабжения и которые не отвечают гигиеническим нормативам по микробиологическим показателям.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4. Удельный вес проб воды, отбор которых произведен из систем нецентрализованного холодного водоснабжения и которые не отвечают гигиеническим нормативам по микробиологическим показателям.</w:t>
      </w:r>
    </w:p>
    <w:p w:rsidR="007C139B" w:rsidRPr="00C901AB" w:rsidRDefault="00614A4C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139B" w:rsidRPr="00C901A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139B" w:rsidRPr="00C901AB">
        <w:rPr>
          <w:rFonts w:ascii="Times New Roman" w:hAnsi="Times New Roman" w:cs="Times New Roman"/>
          <w:sz w:val="28"/>
          <w:szCs w:val="28"/>
        </w:rPr>
        <w:t>. Доля населения, обеспеченного питьевой водой, отвечающей требованиям безопасности, в общей численности населения.</w:t>
      </w:r>
    </w:p>
    <w:p w:rsidR="007C139B" w:rsidRPr="00C901AB" w:rsidRDefault="00614A4C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139B" w:rsidRPr="00C901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139B" w:rsidRPr="00C901AB">
        <w:rPr>
          <w:rFonts w:ascii="Times New Roman" w:hAnsi="Times New Roman" w:cs="Times New Roman"/>
          <w:sz w:val="28"/>
          <w:szCs w:val="28"/>
        </w:rPr>
        <w:t>. Сокращение сбросов загрязненных сточных вод в водные объекты Байкальской природной территории.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7. Мощность объектов капитального строительства.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подпрограммы приведены в </w:t>
      </w:r>
      <w:hyperlink w:anchor="P12192" w:history="1">
        <w:r w:rsidRPr="00C901AB">
          <w:rPr>
            <w:rFonts w:ascii="Times New Roman" w:hAnsi="Times New Roman" w:cs="Times New Roman"/>
            <w:sz w:val="28"/>
            <w:szCs w:val="28"/>
          </w:rPr>
          <w:t>приложении 9</w:t>
        </w:r>
      </w:hyperlink>
      <w:r w:rsidRPr="00C901A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Мероприятия подпрограммы по строительству, реконструкции и </w:t>
      </w:r>
      <w:r w:rsidRPr="00C901AB">
        <w:rPr>
          <w:rFonts w:ascii="Times New Roman" w:hAnsi="Times New Roman" w:cs="Times New Roman"/>
          <w:sz w:val="28"/>
          <w:szCs w:val="28"/>
        </w:rPr>
        <w:lastRenderedPageBreak/>
        <w:t>модернизации объектов водоснабжения, водоотведения и очистки сточных вод реализуются в один этап с 2014 по 2020 год.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На решение задач и достижение цели подпрограммы в рамках программно-целевого метода решения проблемы могут оказать влияние следующие риски: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нормативные правовые риски. Реализация подпрограммы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подпрограммы;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 и очистки сточных вод;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региональные и муниципальные риски. При реализации мероприятий по модернизации систем водоснабжения, водоотведения и очистки сточных вод возможно появление объектов незавершенного строительства в результате задержки финансирования со стороны муниципальных образований Иркутской области.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Подпрограмма не содержит ведомственных целевых программ.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Подпрограммой планируется реализация следующих основных мероприятий: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1. Развитие и модернизация объектов водоснабжения, водоотведения и очистки сточных вод.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предусмотрено предоставление субсидии из областного бюджета местным бюджетам в целях </w:t>
      </w:r>
      <w:proofErr w:type="spellStart"/>
      <w:r w:rsidRPr="00C901A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01A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документации.</w:t>
      </w:r>
      <w:proofErr w:type="gramEnd"/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2. Организация нецентрализованного холодного водоснабжения. В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данного основного мероприятия предусмотрено оказание содействия муниципальным образованиям Иркутской области в реализации мероприятий по приобретению специализированной техники для водоснабжения населения.</w:t>
      </w:r>
    </w:p>
    <w:p w:rsidR="007C139B" w:rsidRPr="00C901AB" w:rsidRDefault="00614A4C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755" w:history="1">
        <w:r w:rsidR="007C139B" w:rsidRPr="00C901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C139B" w:rsidRPr="00C901AB">
        <w:rPr>
          <w:rFonts w:ascii="Times New Roman" w:hAnsi="Times New Roman" w:cs="Times New Roman"/>
          <w:sz w:val="28"/>
          <w:szCs w:val="28"/>
        </w:rPr>
        <w:t xml:space="preserve"> основных меро</w:t>
      </w:r>
      <w:r w:rsidR="00362D0F" w:rsidRPr="00C901AB">
        <w:rPr>
          <w:rFonts w:ascii="Times New Roman" w:hAnsi="Times New Roman" w:cs="Times New Roman"/>
          <w:sz w:val="28"/>
          <w:szCs w:val="28"/>
        </w:rPr>
        <w:t>приятий приведен в приложении 9</w:t>
      </w:r>
      <w:r w:rsidR="007C139B" w:rsidRPr="00C901A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3. МЕРЫ ГОСУДАРСТВЕННОГО РЕГУЛИРОВАНИЯ, НАПРАВЛЕННЫЕ</w:t>
      </w:r>
    </w:p>
    <w:p w:rsidR="007C139B" w:rsidRPr="00C901AB" w:rsidRDefault="007C139B" w:rsidP="00C90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НА ДОСТИЖЕНИЕ ЦЕЛИ И ЗАДАЧ ПОДПРОГРАММЫ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lastRenderedPageBreak/>
        <w:t>Для эффективного развития сектора водоснабжения, водоотведения и очистки сточных вод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строительство, реконструкцию и модернизацию.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Для повышения инвестиционной привлекательности сектора водоснабжения, водоотведения и очистки сточных вод инвесторам должны быть обеспечены гарантии возврата вложенных инвестиций. Действующая система регулирования, основанная на применении метода экономически обоснованных затрат, требует реформирования,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государственно-частного партнерства.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Помимо этого необходимо обеспечить установление долгосрочных тарифов с применением метода доходности инвестированного капитала, в соответствии с которым тарифы устанавливаются на срок от 3 до 5 лет.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применения этого метода тариф формируется из следующих составляющих: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доход на инвестированный капитал, сопоставимый с доходом в других отраслях со схожими рисками;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возврат капитала;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операционные расходы, устанавливаемые на долгосрочный период регулирования и индексируемые с учетом роста цен в экономике.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отличии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деятельности, в том числе на основе внедрения современных энергоэффективных технологий, организаций.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позволяет привлечь частные инвестиции путем гарантии возврата инвестиций. При этом возврат инвестиций осуществляется в течение долгосрочного периода, что значительно снижает рост тарифа на первоначальном этапе.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Вместе с тем при переходе на метод доходности инвестированного капитала компания будет нести ответственность за реализацию инвестиционной программы, обязательства по сокращению операционных расходов и потерь, рост надежности и качества услуг.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Концессионные соглашения являются наиболее эффективной формой привлечения частных инвестиций в сектор водоснабжения, водоотведения и очистки сточных вод, поскольку обеспечивают четкие гарантии возврата инвестированных средств.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Указанные механизмы в ближайшей перспективе позволят привлечь внебюджетные инвестиции в сектор водоснабжения, водоотведения и очистки сточных вод только в крупных городах. С целью активизации процессов по развитию систем водоснабжения, водоотведения и очистки сточных вод в городских и сельских населенных пунктах с небольшой </w:t>
      </w:r>
      <w:r w:rsidRPr="00C901AB">
        <w:rPr>
          <w:rFonts w:ascii="Times New Roman" w:hAnsi="Times New Roman" w:cs="Times New Roman"/>
          <w:sz w:val="28"/>
          <w:szCs w:val="28"/>
        </w:rPr>
        <w:lastRenderedPageBreak/>
        <w:t>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водоснабжения, водоотведения и очистки сточных вод.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Включению в подпрограмму подлежат муниципальные образования Иркутской области, на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которых планируется реализация мероприятий по строительству, реконструкции и модернизации сооружений в системах водоснабжения, водоотведения, строительству и реконструкции водопроводных, канализационных сетей, разработке проектной документации по строительству, реконструкции и модернизации объектов водоснабжения, водоотведения и очистки сточных вод, а также приобретение специализированной техники для организации нецентрализованного холодного водоснабжения.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362D0F" w:rsidRPr="00C901AB" w:rsidRDefault="00362D0F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4059" w:history="1">
        <w:r w:rsidRPr="00C901A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C901A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областного бюдж</w:t>
      </w:r>
      <w:r w:rsidR="00362D0F" w:rsidRPr="00C901AB">
        <w:rPr>
          <w:rFonts w:ascii="Times New Roman" w:hAnsi="Times New Roman" w:cs="Times New Roman"/>
          <w:sz w:val="28"/>
          <w:szCs w:val="28"/>
        </w:rPr>
        <w:t>ета представлено в приложении 10</w:t>
      </w:r>
      <w:r w:rsidRPr="00C901A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17504" w:history="1">
        <w:r w:rsidRPr="00C901AB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901AB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приведена в </w:t>
      </w:r>
      <w:r w:rsidR="00362D0F" w:rsidRPr="00C901AB">
        <w:rPr>
          <w:rFonts w:ascii="Times New Roman" w:hAnsi="Times New Roman" w:cs="Times New Roman"/>
          <w:sz w:val="28"/>
          <w:szCs w:val="28"/>
        </w:rPr>
        <w:t>приложении 11</w:t>
      </w:r>
      <w:r w:rsidRPr="00C901A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5. ПРОГНОЗ СВОДНЫХ ПОКАЗАТЕЛЕЙ</w:t>
      </w:r>
    </w:p>
    <w:p w:rsidR="007C139B" w:rsidRPr="00C901AB" w:rsidRDefault="007C139B" w:rsidP="00C90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реализации подпрограммы не предусмотрено оказания (выполнения) государственными учреждениями Иркутской области государственных услуг (работ).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6. ОБЪЕМЫ ФИНАНСИРОВАНИЯ МЕРОПРИЯТИЙ ПОДПРОГРАММЫ</w:t>
      </w:r>
      <w:r w:rsidR="00362D0F" w:rsidRPr="00C901AB">
        <w:rPr>
          <w:rFonts w:ascii="Times New Roman" w:hAnsi="Times New Roman" w:cs="Times New Roman"/>
          <w:sz w:val="28"/>
          <w:szCs w:val="28"/>
        </w:rPr>
        <w:t xml:space="preserve"> </w:t>
      </w:r>
      <w:r w:rsidRPr="00C901AB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</w:p>
    <w:p w:rsidR="00362D0F" w:rsidRPr="00C901AB" w:rsidRDefault="00362D0F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AB">
        <w:rPr>
          <w:rFonts w:ascii="Times New Roman" w:hAnsi="Times New Roman" w:cs="Times New Roman"/>
          <w:sz w:val="28"/>
          <w:szCs w:val="28"/>
        </w:rPr>
        <w:t xml:space="preserve">Основанием для привлечения средств федерального бюджета на реализацию подпрограммы является федеральная целевая </w:t>
      </w:r>
      <w:hyperlink r:id="rId8" w:history="1">
        <w:r w:rsidRPr="00C901A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362D0F" w:rsidRPr="00C901AB">
        <w:rPr>
          <w:rFonts w:ascii="Times New Roman" w:hAnsi="Times New Roman" w:cs="Times New Roman"/>
          <w:sz w:val="28"/>
          <w:szCs w:val="28"/>
        </w:rPr>
        <w:t xml:space="preserve"> «</w:t>
      </w:r>
      <w:r w:rsidRPr="00C901AB">
        <w:rPr>
          <w:rFonts w:ascii="Times New Roman" w:hAnsi="Times New Roman" w:cs="Times New Roman"/>
          <w:sz w:val="28"/>
          <w:szCs w:val="28"/>
        </w:rPr>
        <w:t>Охрана озера Байкал и социально-экономическое развитие Байкальской природной</w:t>
      </w:r>
      <w:r w:rsidR="00362D0F" w:rsidRPr="00C901AB">
        <w:rPr>
          <w:rFonts w:ascii="Times New Roman" w:hAnsi="Times New Roman" w:cs="Times New Roman"/>
          <w:sz w:val="28"/>
          <w:szCs w:val="28"/>
        </w:rPr>
        <w:t xml:space="preserve"> территории на 2012 - 2020 годы»</w:t>
      </w:r>
      <w:r w:rsidRPr="00C901AB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Российской Фед</w:t>
      </w:r>
      <w:r w:rsidR="00362D0F" w:rsidRPr="00C901AB">
        <w:rPr>
          <w:rFonts w:ascii="Times New Roman" w:hAnsi="Times New Roman" w:cs="Times New Roman"/>
          <w:sz w:val="28"/>
          <w:szCs w:val="28"/>
        </w:rPr>
        <w:t>ерации от 21 августа 2012 года №</w:t>
      </w:r>
      <w:r w:rsidRPr="00C901AB">
        <w:rPr>
          <w:rFonts w:ascii="Times New Roman" w:hAnsi="Times New Roman" w:cs="Times New Roman"/>
          <w:sz w:val="28"/>
          <w:szCs w:val="28"/>
        </w:rPr>
        <w:t xml:space="preserve"> 847, в соответствии с которой бюджету Иркутской области предоставляются субсидии из федерального бюджета на </w:t>
      </w:r>
      <w:proofErr w:type="spellStart"/>
      <w:r w:rsidRPr="00C901A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01AB">
        <w:rPr>
          <w:rFonts w:ascii="Times New Roman" w:hAnsi="Times New Roman" w:cs="Times New Roman"/>
          <w:sz w:val="28"/>
          <w:szCs w:val="28"/>
        </w:rPr>
        <w:t xml:space="preserve"> региональных целевых программ по строительству, модернизации и реконструкции комплексов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очистных сооружений и систем водоотведения.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7. СВЕДЕНИЯ ОБ УЧАСТИИ МУНИЦИПАЛЬНЫХ ОБРАЗОВАНИЙ</w:t>
      </w:r>
    </w:p>
    <w:p w:rsidR="007C139B" w:rsidRPr="00C901AB" w:rsidRDefault="007C139B" w:rsidP="00C90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lastRenderedPageBreak/>
        <w:t>В РЕАЛИЗАЦИИ ПОДПРОГРАММЫ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подпрограммы предусматривается предоставление субсидий из областного бюджета местным бюджетам.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области.</w:t>
      </w: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  <w:highlight w:val="yellow"/>
        </w:rPr>
        <w:t xml:space="preserve">Распределение субсидий из областного бюджета бюджетам муниципальных образований Иркутской области на 2014 - 2015 годы представлено в </w:t>
      </w:r>
      <w:hyperlink w:anchor="P6578" w:history="1">
        <w:r w:rsidRPr="00C901AB">
          <w:rPr>
            <w:rFonts w:ascii="Times New Roman" w:hAnsi="Times New Roman" w:cs="Times New Roman"/>
            <w:sz w:val="28"/>
            <w:szCs w:val="28"/>
            <w:highlight w:val="yellow"/>
          </w:rPr>
          <w:t>приложениях 2</w:t>
        </w:r>
      </w:hyperlink>
      <w:r w:rsidRPr="00C901A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hyperlink w:anchor="P7117" w:history="1">
        <w:r w:rsidRPr="00C901AB">
          <w:rPr>
            <w:rFonts w:ascii="Times New Roman" w:hAnsi="Times New Roman" w:cs="Times New Roman"/>
            <w:sz w:val="28"/>
            <w:szCs w:val="28"/>
            <w:highlight w:val="yellow"/>
          </w:rPr>
          <w:t>3</w:t>
        </w:r>
      </w:hyperlink>
      <w:r w:rsidRPr="00C901AB">
        <w:rPr>
          <w:rFonts w:ascii="Times New Roman" w:hAnsi="Times New Roman" w:cs="Times New Roman"/>
          <w:sz w:val="28"/>
          <w:szCs w:val="28"/>
          <w:highlight w:val="yellow"/>
        </w:rPr>
        <w:t xml:space="preserve"> к подпрограмме.</w:t>
      </w:r>
    </w:p>
    <w:p w:rsidR="007C139B" w:rsidRPr="00C901AB" w:rsidRDefault="00614A4C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252" w:history="1">
        <w:r w:rsidR="007C139B" w:rsidRPr="00C901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C139B" w:rsidRPr="00C901A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(реконструкции)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включенных в подпрограмму, </w:t>
      </w:r>
      <w:r w:rsidR="007C139B" w:rsidRPr="00C901AB">
        <w:rPr>
          <w:rFonts w:ascii="Times New Roman" w:hAnsi="Times New Roman" w:cs="Times New Roman"/>
          <w:sz w:val="28"/>
          <w:szCs w:val="28"/>
          <w:highlight w:val="yellow"/>
        </w:rPr>
        <w:t>представлен в приложении 4 к подпрограмме.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</w:t>
      </w:r>
      <w:proofErr w:type="gramStart"/>
      <w:r w:rsidRPr="00C901A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901AB">
        <w:rPr>
          <w:rFonts w:ascii="Times New Roman" w:hAnsi="Times New Roman" w:cs="Times New Roman"/>
          <w:sz w:val="28"/>
          <w:szCs w:val="28"/>
        </w:rPr>
        <w:t xml:space="preserve"> ВНЕБЮДЖЕТНЫХ</w:t>
      </w:r>
    </w:p>
    <w:p w:rsidR="007C139B" w:rsidRPr="00C901AB" w:rsidRDefault="007C139B" w:rsidP="00C90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ФОНДОВ, ВКЛЮЧАЯ ДАННЫЕ О ПРОГНОЗНЫХ РАСХОДАХ ФОНДА</w:t>
      </w:r>
    </w:p>
    <w:p w:rsidR="007C139B" w:rsidRPr="00C901AB" w:rsidRDefault="007C139B" w:rsidP="00C90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Реализация подпрограммы не предусматривает участия государственных внебюджетных фондов.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ОРГАНИЗАЦИЙ, ВКЛЮЧАЯ ДАННЫЕ О</w:t>
      </w:r>
      <w:r w:rsidR="00362D0F" w:rsidRPr="00C901AB">
        <w:rPr>
          <w:rFonts w:ascii="Times New Roman" w:hAnsi="Times New Roman" w:cs="Times New Roman"/>
          <w:sz w:val="28"/>
          <w:szCs w:val="28"/>
        </w:rPr>
        <w:t xml:space="preserve"> </w:t>
      </w:r>
      <w:r w:rsidRPr="00C901AB">
        <w:rPr>
          <w:rFonts w:ascii="Times New Roman" w:hAnsi="Times New Roman" w:cs="Times New Roman"/>
          <w:sz w:val="28"/>
          <w:szCs w:val="28"/>
        </w:rPr>
        <w:t>ПРОГНОЗНЫХ</w:t>
      </w:r>
      <w:r w:rsidR="00362D0F" w:rsidRPr="00C901AB">
        <w:rPr>
          <w:rFonts w:ascii="Times New Roman" w:hAnsi="Times New Roman" w:cs="Times New Roman"/>
          <w:sz w:val="28"/>
          <w:szCs w:val="28"/>
        </w:rPr>
        <w:t xml:space="preserve"> РАСХОДАХ УКАЗАННЫХ ОРГАНИЗАЦИ </w:t>
      </w:r>
      <w:r w:rsidRPr="00C901AB">
        <w:rPr>
          <w:rFonts w:ascii="Times New Roman" w:hAnsi="Times New Roman" w:cs="Times New Roman"/>
          <w:sz w:val="28"/>
          <w:szCs w:val="28"/>
        </w:rPr>
        <w:t>НА РЕАЛИЗАЦИЮ</w:t>
      </w:r>
      <w:r w:rsidR="00362D0F" w:rsidRPr="00C901AB">
        <w:rPr>
          <w:rFonts w:ascii="Times New Roman" w:hAnsi="Times New Roman" w:cs="Times New Roman"/>
          <w:sz w:val="28"/>
          <w:szCs w:val="28"/>
        </w:rPr>
        <w:t xml:space="preserve"> </w:t>
      </w:r>
      <w:r w:rsidRPr="00C901AB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62D0F" w:rsidRPr="00C901AB" w:rsidRDefault="00362D0F" w:rsidP="00C90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139B" w:rsidRPr="00C901AB" w:rsidRDefault="007C139B" w:rsidP="00C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AB"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 организации водопроводно-канализационных хозяйств, осуществляющие деятельность на территории Иркутской области.</w:t>
      </w:r>
    </w:p>
    <w:p w:rsidR="007C139B" w:rsidRPr="00C901AB" w:rsidRDefault="007C139B" w:rsidP="00C9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280" w:rsidRPr="00C901AB" w:rsidRDefault="00F43280" w:rsidP="00C90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3280" w:rsidRPr="00C901AB" w:rsidSect="00F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39B"/>
    <w:rsid w:val="00022338"/>
    <w:rsid w:val="00257250"/>
    <w:rsid w:val="00362D0F"/>
    <w:rsid w:val="003F6843"/>
    <w:rsid w:val="00551BD0"/>
    <w:rsid w:val="00614A4C"/>
    <w:rsid w:val="0063547B"/>
    <w:rsid w:val="006D00EF"/>
    <w:rsid w:val="00702A18"/>
    <w:rsid w:val="007C139B"/>
    <w:rsid w:val="00825F01"/>
    <w:rsid w:val="00861F88"/>
    <w:rsid w:val="008C704D"/>
    <w:rsid w:val="00A47719"/>
    <w:rsid w:val="00C901AB"/>
    <w:rsid w:val="00CA176B"/>
    <w:rsid w:val="00E32430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1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D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354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BD0481AFE68DAB119A800629A12CE76E43667B1398A3EE6DC9DFAB269265D869EE253346BC534T2l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9BD0481AFE68DAB119B60D74F648C275E66B6DB23F856BBD8E9BADED392008C6DEE406772FC83425B69F7CTCl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BD0481AFE68DAB119B60D74F648C275E66B6DB23F856BBD8E9BADED392008C6DEE406772FC83425B69F7CTClCD" TargetMode="External"/><Relationship Id="rId5" Type="http://schemas.openxmlformats.org/officeDocument/2006/relationships/hyperlink" Target="consultantplus://offline/ref=009BD0481AFE68DAB119B60D74F648C275E66B6DBA35856CBC83C6A7E5602C0AC1D1BB117066C43525B69FT7l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u.kharevskaya</dc:creator>
  <cp:keywords/>
  <dc:description/>
  <cp:lastModifiedBy>Ирина Юрьевна Демченко</cp:lastModifiedBy>
  <cp:revision>14</cp:revision>
  <dcterms:created xsi:type="dcterms:W3CDTF">2018-08-22T23:56:00Z</dcterms:created>
  <dcterms:modified xsi:type="dcterms:W3CDTF">2018-09-07T09:03:00Z</dcterms:modified>
</cp:coreProperties>
</file>