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0" w:rsidRPr="00880D70" w:rsidRDefault="00B034A6" w:rsidP="00B034A6">
      <w:pPr>
        <w:jc w:val="center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>ФИНАНСОВЫЙ   МЕНЕДЖМЕНТ</w:t>
      </w:r>
    </w:p>
    <w:p w:rsidR="00B034A6" w:rsidRPr="00880D70" w:rsidRDefault="00B034A6" w:rsidP="00B034A6">
      <w:pPr>
        <w:jc w:val="left"/>
        <w:rPr>
          <w:rFonts w:ascii="Times New Roman" w:hAnsi="Times New Roman" w:cs="Times New Roman"/>
        </w:rPr>
      </w:pP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На основе результатов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Pr="00880D70">
        <w:rPr>
          <w:rFonts w:ascii="Times New Roman" w:hAnsi="Times New Roman" w:cs="Times New Roman"/>
          <w:sz w:val="24"/>
          <w:szCs w:val="24"/>
        </w:rPr>
        <w:t>муниципального образования «Тайшетский район», составляется рейтинг главных администраторов бюджетных средств</w:t>
      </w:r>
      <w:r w:rsidR="00135FEE" w:rsidRPr="00880D70">
        <w:rPr>
          <w:rFonts w:ascii="Times New Roman" w:hAnsi="Times New Roman" w:cs="Times New Roman"/>
          <w:sz w:val="24"/>
          <w:szCs w:val="24"/>
        </w:rPr>
        <w:t xml:space="preserve"> (далее – ГАБС)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 xml:space="preserve">Качество финансового менеджмента ГАБС зависит от организации ГАБС процедур 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управления доходами и расходами бюджета, </w:t>
      </w:r>
      <w:r w:rsidRPr="00880D70">
        <w:rPr>
          <w:rFonts w:ascii="Times New Roman" w:hAnsi="Times New Roman" w:cs="Times New Roman"/>
          <w:sz w:val="24"/>
          <w:szCs w:val="24"/>
        </w:rPr>
        <w:t>ведения учета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 и</w:t>
      </w:r>
      <w:r w:rsidRPr="00880D70">
        <w:rPr>
          <w:rFonts w:ascii="Times New Roman" w:hAnsi="Times New Roman" w:cs="Times New Roman"/>
          <w:sz w:val="24"/>
          <w:szCs w:val="24"/>
        </w:rPr>
        <w:t xml:space="preserve"> составления бюджетной отчетности, </w:t>
      </w:r>
      <w:r w:rsidR="00DD3975" w:rsidRPr="00880D70">
        <w:rPr>
          <w:rFonts w:ascii="Times New Roman" w:hAnsi="Times New Roman" w:cs="Times New Roman"/>
          <w:sz w:val="24"/>
          <w:szCs w:val="24"/>
        </w:rPr>
        <w:t>организации и осуществления внутреннего финансового аудита и внутреннего</w:t>
      </w:r>
      <w:r w:rsidRPr="00880D70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DD3975" w:rsidRPr="00880D70">
        <w:rPr>
          <w:rFonts w:ascii="Times New Roman" w:hAnsi="Times New Roman" w:cs="Times New Roman"/>
          <w:sz w:val="24"/>
          <w:szCs w:val="24"/>
        </w:rPr>
        <w:t>, управления активами, исполнения бюджетных процедур во взаимосвязи с выявленными бюджетными нарушениями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437E10" w:rsidRPr="00880D70" w:rsidRDefault="00437E10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>Мониторинг проводится в соответствии с Порядком проведения мониторинга качества финансового менеджмента главных распорядителей бюджетных средств, главных администраторов доходов бюджета</w:t>
      </w:r>
      <w:r w:rsidR="00636A99" w:rsidRPr="00880D70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Pr="00880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«Тайшетский район», утвержденным </w:t>
      </w:r>
      <w:r w:rsidR="00636A99" w:rsidRPr="00880D70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880D70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3</w:t>
      </w:r>
      <w:r w:rsidR="00230269">
        <w:rPr>
          <w:rFonts w:ascii="Times New Roman" w:hAnsi="Times New Roman" w:cs="Times New Roman"/>
          <w:sz w:val="24"/>
          <w:szCs w:val="24"/>
        </w:rPr>
        <w:t>1</w:t>
      </w:r>
      <w:r w:rsidR="00636A99" w:rsidRPr="00880D70">
        <w:rPr>
          <w:rFonts w:ascii="Times New Roman" w:hAnsi="Times New Roman" w:cs="Times New Roman"/>
          <w:sz w:val="24"/>
          <w:szCs w:val="24"/>
        </w:rPr>
        <w:t>.05.2021</w:t>
      </w:r>
      <w:r w:rsidRPr="00880D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6A99" w:rsidRPr="00880D70">
        <w:rPr>
          <w:rFonts w:ascii="Times New Roman" w:hAnsi="Times New Roman" w:cs="Times New Roman"/>
          <w:sz w:val="24"/>
          <w:szCs w:val="24"/>
        </w:rPr>
        <w:t>64/р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880D70" w:rsidRPr="00880D70" w:rsidRDefault="00880D70" w:rsidP="0088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проводится по следующим направлениям: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расходами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доходами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ведения учёта и составления бюджетной отчётности;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организации и осуществления внутреннего финансового аудита и внутреннего финансового контроля;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активами;</w:t>
      </w:r>
    </w:p>
    <w:p w:rsidR="00437E1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исполнения бюджетных процедур во взаимосвязи с выявленными бюджетными нарушениями.</w:t>
      </w:r>
    </w:p>
    <w:p w:rsidR="00437E10" w:rsidRPr="00880D70" w:rsidRDefault="00437E10" w:rsidP="00B034A6">
      <w:pPr>
        <w:jc w:val="both"/>
        <w:rPr>
          <w:rFonts w:ascii="Times New Roman" w:hAnsi="Times New Roman" w:cs="Times New Roman"/>
        </w:rPr>
      </w:pPr>
    </w:p>
    <w:p w:rsidR="00437E10" w:rsidRPr="00880D70" w:rsidRDefault="00437E10" w:rsidP="00B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Итоговая оценка по ГАБС оценивается по 5 – балльной шкале.</w:t>
      </w:r>
    </w:p>
    <w:p w:rsidR="00DB4B85" w:rsidRPr="00880D70" w:rsidRDefault="00DB4B85">
      <w:pPr>
        <w:jc w:val="left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 xml:space="preserve"> </w:t>
      </w: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A6" w:rsidRPr="00880D70" w:rsidRDefault="00712F4E" w:rsidP="001C7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D70">
        <w:rPr>
          <w:rFonts w:ascii="Times New Roman" w:hAnsi="Times New Roman" w:cs="Times New Roman"/>
          <w:sz w:val="28"/>
          <w:szCs w:val="28"/>
        </w:rPr>
        <w:lastRenderedPageBreak/>
        <w:t>Рейтинг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 </w:t>
      </w:r>
      <w:r w:rsidR="00022F41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ГАБС 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за </w:t>
      </w:r>
      <w:r w:rsidR="001A1540" w:rsidRPr="00880D70">
        <w:rPr>
          <w:rFonts w:ascii="Times New Roman" w:hAnsi="Times New Roman" w:cs="Times New Roman"/>
          <w:sz w:val="28"/>
          <w:szCs w:val="28"/>
        </w:rPr>
        <w:t>20</w:t>
      </w:r>
      <w:r w:rsidR="00DD3975" w:rsidRPr="00880D70">
        <w:rPr>
          <w:rFonts w:ascii="Times New Roman" w:hAnsi="Times New Roman" w:cs="Times New Roman"/>
          <w:sz w:val="28"/>
          <w:szCs w:val="28"/>
        </w:rPr>
        <w:t>20</w:t>
      </w:r>
      <w:r w:rsidR="001A1540" w:rsidRPr="00880D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0C46" w:rsidRPr="00B034A6" w:rsidRDefault="00D552A7">
      <w:pPr>
        <w:jc w:val="left"/>
      </w:pPr>
      <w:r>
        <w:rPr>
          <w:noProof/>
          <w:lang w:eastAsia="ru-RU"/>
        </w:rPr>
        <w:drawing>
          <wp:inline distT="0" distB="0" distL="0" distR="0" wp14:anchorId="28F606E5" wp14:editId="46043596">
            <wp:extent cx="6647180" cy="90008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D0C46" w:rsidRPr="00B034A6" w:rsidSect="009428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034A6"/>
    <w:rsid w:val="000059EE"/>
    <w:rsid w:val="00022F41"/>
    <w:rsid w:val="0008472E"/>
    <w:rsid w:val="00135FEE"/>
    <w:rsid w:val="001611C4"/>
    <w:rsid w:val="001A1540"/>
    <w:rsid w:val="001C7D7F"/>
    <w:rsid w:val="001E0FDD"/>
    <w:rsid w:val="00230269"/>
    <w:rsid w:val="00243D0D"/>
    <w:rsid w:val="00265902"/>
    <w:rsid w:val="00342B2E"/>
    <w:rsid w:val="003511DB"/>
    <w:rsid w:val="003C1838"/>
    <w:rsid w:val="003C7AC6"/>
    <w:rsid w:val="003E59C4"/>
    <w:rsid w:val="00405D4D"/>
    <w:rsid w:val="00437E10"/>
    <w:rsid w:val="004478CA"/>
    <w:rsid w:val="004513F9"/>
    <w:rsid w:val="00482266"/>
    <w:rsid w:val="00540DC6"/>
    <w:rsid w:val="00576BF3"/>
    <w:rsid w:val="006015F7"/>
    <w:rsid w:val="00636A99"/>
    <w:rsid w:val="006B70C4"/>
    <w:rsid w:val="00712F4E"/>
    <w:rsid w:val="007601AE"/>
    <w:rsid w:val="007B20EF"/>
    <w:rsid w:val="00867E07"/>
    <w:rsid w:val="00880D70"/>
    <w:rsid w:val="009428D7"/>
    <w:rsid w:val="009E0030"/>
    <w:rsid w:val="009F4AB3"/>
    <w:rsid w:val="00A37E5D"/>
    <w:rsid w:val="00A8684D"/>
    <w:rsid w:val="00AA07C0"/>
    <w:rsid w:val="00B011FE"/>
    <w:rsid w:val="00B034A6"/>
    <w:rsid w:val="00B35032"/>
    <w:rsid w:val="00B72C95"/>
    <w:rsid w:val="00B8171F"/>
    <w:rsid w:val="00C53551"/>
    <w:rsid w:val="00CC0B8D"/>
    <w:rsid w:val="00CC1C45"/>
    <w:rsid w:val="00D22480"/>
    <w:rsid w:val="00D552A7"/>
    <w:rsid w:val="00D6115D"/>
    <w:rsid w:val="00DB4B85"/>
    <w:rsid w:val="00DD3975"/>
    <w:rsid w:val="00DF0795"/>
    <w:rsid w:val="00E17624"/>
    <w:rsid w:val="00E2112C"/>
    <w:rsid w:val="00E726AF"/>
    <w:rsid w:val="00F74715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BAA5-60B6-4C3B-A27E-3B4A09C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D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12442578079559"/>
          <c:y val="1.6605537211074422E-2"/>
          <c:w val="0.72623545513600918"/>
          <c:h val="0.813559582985087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Управление расходами бюджета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Управление образования</c:v>
                </c:pt>
                <c:pt idx="2">
                  <c:v>Управление культуры, спорта и молодежной политики</c:v>
                </c:pt>
                <c:pt idx="3">
                  <c:v>Отдел по предоставлению  гражданам субсидий на оплату жилья и коммунальных услуг</c:v>
                </c:pt>
                <c:pt idx="4">
                  <c:v>Администрация района 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Финансовое управление</c:v>
                </c:pt>
                <c:pt idx="7">
                  <c:v>Контрольно-счетна палата района</c:v>
                </c:pt>
                <c:pt idx="8">
                  <c:v>Дума района</c:v>
                </c:pt>
              </c:strCache>
            </c:strRef>
          </c:cat>
          <c:val>
            <c:numRef>
              <c:f>Лист1!$C$5:$K$5</c:f>
              <c:numCache>
                <c:formatCode>_-* #,##0.00_р_._-;\-* #,##0.00_р_._-;_-* "-"??_р_._-;_-@_-</c:formatCode>
                <c:ptCount val="9"/>
                <c:pt idx="0">
                  <c:v>2.73</c:v>
                </c:pt>
                <c:pt idx="1">
                  <c:v>3.27</c:v>
                </c:pt>
                <c:pt idx="2">
                  <c:v>3.82</c:v>
                </c:pt>
                <c:pt idx="3">
                  <c:v>4.38</c:v>
                </c:pt>
                <c:pt idx="4">
                  <c:v>3.82</c:v>
                </c:pt>
                <c:pt idx="5">
                  <c:v>3.82</c:v>
                </c:pt>
                <c:pt idx="6">
                  <c:v>3.91</c:v>
                </c:pt>
                <c:pt idx="7">
                  <c:v>4.3</c:v>
                </c:pt>
                <c:pt idx="8">
                  <c:v>4.8899999999999997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Управление доходами бюджета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Управление образования</c:v>
                </c:pt>
                <c:pt idx="2">
                  <c:v>Управление культуры, спорта и молодежной политики</c:v>
                </c:pt>
                <c:pt idx="3">
                  <c:v>Отдел по предоставлению  гражданам субсидий на оплату жилья и коммунальных услуг</c:v>
                </c:pt>
                <c:pt idx="4">
                  <c:v>Администрация района 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Финансовое управление</c:v>
                </c:pt>
                <c:pt idx="7">
                  <c:v>Контрольно-счетна палата района</c:v>
                </c:pt>
                <c:pt idx="8">
                  <c:v>Дума района</c:v>
                </c:pt>
              </c:strCache>
            </c:strRef>
          </c:cat>
          <c:val>
            <c:numRef>
              <c:f>Лист1!$C$6:$K$6</c:f>
              <c:numCache>
                <c:formatCode>_-* #,##0.00_р_._-;\-* #,##0.00_р_._-;_-* "-"??_р_._-;_-@_-</c:formatCode>
                <c:ptCount val="9"/>
                <c:pt idx="0">
                  <c:v>3.33</c:v>
                </c:pt>
                <c:pt idx="1">
                  <c:v>2.67</c:v>
                </c:pt>
                <c:pt idx="2">
                  <c:v>2.67</c:v>
                </c:pt>
                <c:pt idx="3">
                  <c:v>5</c:v>
                </c:pt>
                <c:pt idx="4">
                  <c:v>2.67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Ведение учёта и составление бюджетной отчётности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Управление образования</c:v>
                </c:pt>
                <c:pt idx="2">
                  <c:v>Управление культуры, спорта и молодежной политики</c:v>
                </c:pt>
                <c:pt idx="3">
                  <c:v>Отдел по предоставлению  гражданам субсидий на оплату жилья и коммунальных услуг</c:v>
                </c:pt>
                <c:pt idx="4">
                  <c:v>Администрация района 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Финансовое управление</c:v>
                </c:pt>
                <c:pt idx="7">
                  <c:v>Контрольно-счетна палата района</c:v>
                </c:pt>
                <c:pt idx="8">
                  <c:v>Дума района</c:v>
                </c:pt>
              </c:strCache>
            </c:strRef>
          </c:cat>
          <c:val>
            <c:numRef>
              <c:f>Лист1!$C$7:$K$7</c:f>
              <c:numCache>
                <c:formatCode>_-* #,##0.00_р_._-;\-* #,##0.00_р_._-;_-* "-"??_р_._-;_-@_-</c:formatCode>
                <c:ptCount val="9"/>
                <c:pt idx="0">
                  <c:v>4</c:v>
                </c:pt>
                <c:pt idx="1">
                  <c:v>3</c:v>
                </c:pt>
                <c:pt idx="2">
                  <c:v>4.5999999999999996</c:v>
                </c:pt>
                <c:pt idx="3">
                  <c:v>4.75</c:v>
                </c:pt>
                <c:pt idx="4">
                  <c:v>4.75</c:v>
                </c:pt>
                <c:pt idx="5">
                  <c:v>5</c:v>
                </c:pt>
                <c:pt idx="6">
                  <c:v>4.75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Организация и осуществление внутреннего финансового аудита и внутреннего финансового контроля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Управление образования</c:v>
                </c:pt>
                <c:pt idx="2">
                  <c:v>Управление культуры, спорта и молодежной политики</c:v>
                </c:pt>
                <c:pt idx="3">
                  <c:v>Отдел по предоставлению  гражданам субсидий на оплату жилья и коммунальных услуг</c:v>
                </c:pt>
                <c:pt idx="4">
                  <c:v>Администрация района 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Финансовое управление</c:v>
                </c:pt>
                <c:pt idx="7">
                  <c:v>Контрольно-счетна палата района</c:v>
                </c:pt>
                <c:pt idx="8">
                  <c:v>Дума района</c:v>
                </c:pt>
              </c:strCache>
            </c:strRef>
          </c:cat>
          <c:val>
            <c:numRef>
              <c:f>Лист1!$C$8:$K$8</c:f>
              <c:numCache>
                <c:formatCode>_-* #,##0.00_р_._-;\-* #,##0.00_р_._-;_-* "-"??_р_._-;_-@_-</c:formatCode>
                <c:ptCount val="9"/>
                <c:pt idx="0">
                  <c:v>1.5</c:v>
                </c:pt>
                <c:pt idx="1">
                  <c:v>2.5</c:v>
                </c:pt>
                <c:pt idx="2">
                  <c:v>1.5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Управление активами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Управление образования</c:v>
                </c:pt>
                <c:pt idx="2">
                  <c:v>Управление культуры, спорта и молодежной политики</c:v>
                </c:pt>
                <c:pt idx="3">
                  <c:v>Отдел по предоставлению  гражданам субсидий на оплату жилья и коммунальных услуг</c:v>
                </c:pt>
                <c:pt idx="4">
                  <c:v>Администрация района 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Финансовое управление</c:v>
                </c:pt>
                <c:pt idx="7">
                  <c:v>Контрольно-счетна палата района</c:v>
                </c:pt>
                <c:pt idx="8">
                  <c:v>Дума района</c:v>
                </c:pt>
              </c:strCache>
            </c:strRef>
          </c:cat>
          <c:val>
            <c:numRef>
              <c:f>Лист1!$C$9:$K$9</c:f>
              <c:numCache>
                <c:formatCode>_-* #,##0.00_р_._-;\-* #,##0.00_р_._-;_-* "-"??_р_._-;_-@_-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Исполнение бюджетных процедур во взаимосвязи с выявленными бюджетными нарушениями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Управление образования</c:v>
                </c:pt>
                <c:pt idx="2">
                  <c:v>Управление культуры, спорта и молодежной политики</c:v>
                </c:pt>
                <c:pt idx="3">
                  <c:v>Отдел по предоставлению  гражданам субсидий на оплату жилья и коммунальных услуг</c:v>
                </c:pt>
                <c:pt idx="4">
                  <c:v>Администрация района 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Финансовое управление</c:v>
                </c:pt>
                <c:pt idx="7">
                  <c:v>Контрольно-счетна палата района</c:v>
                </c:pt>
                <c:pt idx="8">
                  <c:v>Дума района</c:v>
                </c:pt>
              </c:strCache>
            </c:strRef>
          </c:cat>
          <c:val>
            <c:numRef>
              <c:f>Лист1!$C$10:$K$10</c:f>
              <c:numCache>
                <c:formatCode>_-* #,##0.00_р_._-;\-* #,##0.00_р_._-;_-* "-"??_р_._-;_-@_-</c:formatCode>
                <c:ptCount val="9"/>
                <c:pt idx="0" formatCode="#,##0.00_ ;\-#,##0.00\ 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06773264"/>
        <c:axId val="-1606772720"/>
      </c:barChart>
      <c:catAx>
        <c:axId val="-1606773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1606772720"/>
        <c:crosses val="autoZero"/>
        <c:auto val="1"/>
        <c:lblAlgn val="ctr"/>
        <c:lblOffset val="100"/>
        <c:tickLblSkip val="1"/>
        <c:noMultiLvlLbl val="0"/>
      </c:catAx>
      <c:valAx>
        <c:axId val="-1606772720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-1606773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9385182889586267E-2"/>
          <c:y val="0.82875985251716555"/>
          <c:w val="0.93870424253909857"/>
          <c:h val="0.12680134606079271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0.83614</cdr:x>
      <cdr:y>0.04709</cdr:y>
    </cdr:from>
    <cdr:to>
      <cdr:x>0.92372</cdr:x>
      <cdr:y>0.09156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557962" y="423833"/>
          <a:ext cx="582171" cy="400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4,49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0.00236</cdr:x>
      <cdr:y>0.00367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0.81939</cdr:x>
      <cdr:y>0.13275</cdr:y>
    </cdr:from>
    <cdr:to>
      <cdr:x>0.8804</cdr:x>
      <cdr:y>0.17012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446644" y="1194815"/>
          <a:ext cx="405516" cy="336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4,20</a:t>
          </a:r>
        </a:p>
      </cdr:txBody>
    </cdr:sp>
  </cdr:relSizeAnchor>
  <cdr:relSizeAnchor xmlns:cdr="http://schemas.openxmlformats.org/drawingml/2006/chartDrawing">
    <cdr:from>
      <cdr:x>0.84212</cdr:x>
      <cdr:y>0.22417</cdr:y>
    </cdr:from>
    <cdr:to>
      <cdr:x>0.91389</cdr:x>
      <cdr:y>0.25994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5597718" y="2017640"/>
          <a:ext cx="477079" cy="321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4,17</a:t>
          </a:r>
        </a:p>
      </cdr:txBody>
    </cdr:sp>
  </cdr:relSizeAnchor>
  <cdr:relSizeAnchor xmlns:cdr="http://schemas.openxmlformats.org/drawingml/2006/chartDrawing">
    <cdr:from>
      <cdr:x>0.71173</cdr:x>
      <cdr:y>0.77035</cdr:y>
    </cdr:from>
    <cdr:to>
      <cdr:x>0.77513</cdr:x>
      <cdr:y>0.80447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731027" y="6933538"/>
          <a:ext cx="421418" cy="307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2,95</a:t>
          </a:r>
        </a:p>
      </cdr:txBody>
    </cdr:sp>
  </cdr:relSizeAnchor>
  <cdr:relSizeAnchor xmlns:cdr="http://schemas.openxmlformats.org/drawingml/2006/chartDrawing">
    <cdr:from>
      <cdr:x>0.80623</cdr:x>
      <cdr:y>0.31479</cdr:y>
    </cdr:from>
    <cdr:to>
      <cdr:x>0.89432</cdr:x>
      <cdr:y>0.35136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5359179" y="2833264"/>
          <a:ext cx="585527" cy="32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3,96</a:t>
          </a:r>
        </a:p>
      </cdr:txBody>
    </cdr:sp>
  </cdr:relSizeAnchor>
  <cdr:relSizeAnchor xmlns:cdr="http://schemas.openxmlformats.org/drawingml/2006/chartDrawing">
    <cdr:from>
      <cdr:x>0.79068</cdr:x>
      <cdr:y>0.6741</cdr:y>
    </cdr:from>
    <cdr:to>
      <cdr:x>0.92218</cdr:x>
      <cdr:y>0.71146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255812" y="6067230"/>
          <a:ext cx="874084" cy="336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3,35</a:t>
          </a:r>
        </a:p>
      </cdr:txBody>
    </cdr:sp>
  </cdr:relSizeAnchor>
  <cdr:relSizeAnchor xmlns:cdr="http://schemas.openxmlformats.org/drawingml/2006/chartDrawing">
    <cdr:from>
      <cdr:x>0.85144</cdr:x>
      <cdr:y>0.40621</cdr:y>
    </cdr:from>
    <cdr:to>
      <cdr:x>0.9176</cdr:x>
      <cdr:y>0.44278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659703" y="4063117"/>
          <a:ext cx="439746" cy="365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3,94</a:t>
          </a:r>
        </a:p>
      </cdr:txBody>
    </cdr:sp>
  </cdr:relSizeAnchor>
  <cdr:relSizeAnchor xmlns:cdr="http://schemas.openxmlformats.org/drawingml/2006/chartDrawing">
    <cdr:from>
      <cdr:x>0.73925</cdr:x>
      <cdr:y>0.49445</cdr:y>
    </cdr:from>
    <cdr:to>
      <cdr:x>0.94952</cdr:x>
      <cdr:y>0.5334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4913906" y="4450292"/>
          <a:ext cx="1397724" cy="350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3,90</a:t>
          </a:r>
        </a:p>
      </cdr:txBody>
    </cdr:sp>
  </cdr:relSizeAnchor>
  <cdr:relSizeAnchor xmlns:cdr="http://schemas.openxmlformats.org/drawingml/2006/chartDrawing">
    <cdr:from>
      <cdr:x>0.80857</cdr:x>
      <cdr:y>0.58586</cdr:y>
    </cdr:from>
    <cdr:to>
      <cdr:x>0.94658</cdr:x>
      <cdr:y>0.62084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5374681" y="5860112"/>
          <a:ext cx="917407" cy="349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6EED-DE76-49A3-97BE-F80AC72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40</cp:revision>
  <dcterms:created xsi:type="dcterms:W3CDTF">2017-03-30T07:51:00Z</dcterms:created>
  <dcterms:modified xsi:type="dcterms:W3CDTF">2021-06-24T06:14:00Z</dcterms:modified>
</cp:coreProperties>
</file>