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AD" w:rsidRPr="0005331C" w:rsidRDefault="005010AD">
      <w:pPr>
        <w:spacing w:after="0" w:line="240" w:lineRule="auto"/>
        <w:ind w:right="139"/>
        <w:jc w:val="center"/>
        <w:rPr>
          <w:rFonts w:ascii="Arial" w:eastAsia="Arial" w:hAnsi="Arial" w:cs="Arial"/>
          <w:b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>15.10.2025 №</w:t>
      </w:r>
      <w:r w:rsidR="0005331C" w:rsidRPr="0005331C">
        <w:rPr>
          <w:rFonts w:ascii="Arial" w:eastAsia="Arial" w:hAnsi="Arial" w:cs="Arial"/>
          <w:b/>
          <w:sz w:val="32"/>
          <w:szCs w:val="32"/>
        </w:rPr>
        <w:t>33-П</w:t>
      </w:r>
    </w:p>
    <w:p w:rsidR="00CC792D" w:rsidRPr="0005331C" w:rsidRDefault="00E312AC">
      <w:pPr>
        <w:spacing w:after="0" w:line="240" w:lineRule="auto"/>
        <w:ind w:right="139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РОССИЙСКАЯ ФЕДЕРАЦИЯ </w:t>
      </w:r>
    </w:p>
    <w:p w:rsidR="00CC792D" w:rsidRPr="0005331C" w:rsidRDefault="00E312AC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ИРКУТСКАЯ ОБЛАСТЬ </w:t>
      </w:r>
    </w:p>
    <w:p w:rsidR="00CC792D" w:rsidRPr="0005331C" w:rsidRDefault="00E312AC">
      <w:pPr>
        <w:spacing w:after="0" w:line="240" w:lineRule="auto"/>
        <w:ind w:right="137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АЛАРСКИЙ РАЙОН </w:t>
      </w:r>
    </w:p>
    <w:p w:rsidR="00CC792D" w:rsidRPr="0005331C" w:rsidRDefault="00E312AC">
      <w:pPr>
        <w:spacing w:after="0" w:line="240" w:lineRule="auto"/>
        <w:ind w:right="144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«ТЫРГЕТУЙ»</w:t>
      </w:r>
      <w:r w:rsidRPr="0005331C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CC792D" w:rsidRPr="0005331C" w:rsidRDefault="00E312AC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АДМИНИСТРАЦИЯ </w:t>
      </w:r>
    </w:p>
    <w:p w:rsidR="00CC792D" w:rsidRPr="0005331C" w:rsidRDefault="00E312AC">
      <w:pPr>
        <w:spacing w:after="0" w:line="240" w:lineRule="auto"/>
        <w:ind w:right="138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ПОСТАНОВЛЕНИЕ </w:t>
      </w:r>
    </w:p>
    <w:p w:rsidR="00CC792D" w:rsidRPr="0005331C" w:rsidRDefault="00E312AC">
      <w:pPr>
        <w:spacing w:after="0" w:line="240" w:lineRule="auto"/>
        <w:ind w:right="43"/>
        <w:jc w:val="center"/>
        <w:rPr>
          <w:rFonts w:ascii="Arial" w:hAnsi="Arial" w:cs="Arial"/>
          <w:sz w:val="32"/>
          <w:szCs w:val="32"/>
        </w:rPr>
      </w:pPr>
      <w:r w:rsidRPr="0005331C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Hlk193541803"/>
      <w:r w:rsidRPr="0005331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</w:t>
      </w:r>
      <w:r w:rsidRPr="0005331C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Pr="0005331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ОСУЩЕСТВЛЕНИЯ МОНИТОРИНГА ЗАКУПОК ТОВАРОВ, РАБОТ, УСЛУГ ДЛЯ ОБЕСПЕЧЕНИЯ МУНИЦИПАЛЬНЫХ НУЖД МУНИЦИПАЛЬНОГО ОБРАЗОВАНИЯ «</w:t>
      </w:r>
      <w:r w:rsidRPr="0005331C">
        <w:rPr>
          <w:rFonts w:ascii="Arial" w:eastAsia="Calibri" w:hAnsi="Arial" w:cs="Arial"/>
          <w:b/>
          <w:bCs/>
          <w:kern w:val="2"/>
          <w:sz w:val="32"/>
          <w:szCs w:val="32"/>
          <w:lang w:eastAsia="ru-RU"/>
        </w:rPr>
        <w:t>ТЫРГЕТУЙ</w:t>
      </w:r>
      <w:r w:rsidRPr="0005331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</w:p>
    <w:p w:rsidR="00CC792D" w:rsidRPr="005010AD" w:rsidRDefault="00CC792D">
      <w:pPr>
        <w:pStyle w:val="af4"/>
        <w:spacing w:beforeAutospacing="0" w:after="0" w:afterAutospacing="0"/>
        <w:jc w:val="center"/>
        <w:rPr>
          <w:rFonts w:ascii="Arial" w:hAnsi="Arial" w:cs="Arial"/>
          <w:b/>
          <w:bCs/>
        </w:rPr>
      </w:pPr>
    </w:p>
    <w:p w:rsidR="00CC792D" w:rsidRPr="005010AD" w:rsidRDefault="00CC792D">
      <w:pPr>
        <w:pStyle w:val="Standard"/>
        <w:widowControl w:val="0"/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CC792D" w:rsidRPr="0005331C" w:rsidRDefault="00E312AC">
      <w:pPr>
        <w:spacing w:after="0" w:line="288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 xml:space="preserve">В соответствии с частью 8 статьи 97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«Тыргетуй», </w:t>
      </w:r>
      <w:r w:rsidRPr="0005331C">
        <w:rPr>
          <w:rFonts w:ascii="Arial" w:hAnsi="Arial" w:cs="Arial"/>
          <w:bCs/>
          <w:kern w:val="2"/>
          <w:sz w:val="24"/>
          <w:szCs w:val="24"/>
        </w:rPr>
        <w:t xml:space="preserve">администрация муниципального образования «Тыргетуй» </w:t>
      </w:r>
    </w:p>
    <w:p w:rsidR="00CC792D" w:rsidRPr="005010AD" w:rsidRDefault="00CC792D">
      <w:pPr>
        <w:pStyle w:val="Standard"/>
        <w:widowControl w:val="0"/>
        <w:suppressAutoHyphens w:val="0"/>
        <w:ind w:firstLine="709"/>
        <w:contextualSpacing/>
        <w:jc w:val="center"/>
        <w:rPr>
          <w:rFonts w:ascii="Arial" w:eastAsia="Arial" w:hAnsi="Arial" w:cs="Arial"/>
          <w:sz w:val="28"/>
          <w:szCs w:val="28"/>
          <w:lang w:val="ru-RU"/>
        </w:rPr>
      </w:pPr>
    </w:p>
    <w:p w:rsidR="00CC792D" w:rsidRPr="0005331C" w:rsidRDefault="00E312AC">
      <w:pPr>
        <w:pStyle w:val="Standard"/>
        <w:widowControl w:val="0"/>
        <w:suppressAutoHyphens w:val="0"/>
        <w:contextualSpacing/>
        <w:jc w:val="center"/>
        <w:rPr>
          <w:rFonts w:ascii="Arial" w:eastAsia="Arial" w:hAnsi="Arial" w:cs="Arial"/>
          <w:b/>
          <w:sz w:val="30"/>
          <w:szCs w:val="30"/>
          <w:lang w:val="ru-RU"/>
        </w:rPr>
      </w:pPr>
      <w:r w:rsidRPr="0005331C">
        <w:rPr>
          <w:rFonts w:ascii="Arial" w:eastAsia="Arial" w:hAnsi="Arial" w:cs="Arial"/>
          <w:b/>
          <w:sz w:val="30"/>
          <w:szCs w:val="30"/>
          <w:lang w:val="ru-RU"/>
        </w:rPr>
        <w:t>ПОСТАНОВЛЯЕТ:</w:t>
      </w:r>
    </w:p>
    <w:p w:rsidR="00CC792D" w:rsidRPr="005010AD" w:rsidRDefault="00CC792D">
      <w:pPr>
        <w:pStyle w:val="Standard"/>
        <w:widowControl w:val="0"/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CC792D" w:rsidRPr="0005331C" w:rsidRDefault="00E312AC">
      <w:pPr>
        <w:pStyle w:val="af4"/>
        <w:spacing w:beforeAutospacing="0" w:after="0" w:afterAutospacing="0" w:line="288" w:lineRule="atLeast"/>
        <w:ind w:firstLine="709"/>
        <w:jc w:val="both"/>
        <w:rPr>
          <w:rFonts w:ascii="Arial" w:eastAsiaTheme="minorHAnsi" w:hAnsi="Arial" w:cs="Arial"/>
          <w:lang w:eastAsia="en-US"/>
        </w:rPr>
      </w:pPr>
      <w:r w:rsidRPr="0005331C">
        <w:rPr>
          <w:rFonts w:ascii="Arial" w:eastAsiaTheme="minorHAnsi" w:hAnsi="Arial" w:cs="Arial"/>
          <w:lang w:eastAsia="en-US"/>
        </w:rPr>
        <w:t>1. Утвердить Порядок осуществления мониторинга закупок товаров, работ, услуг для обеспечения муниципальных нужд муниципального образования «Тыргетуй» (Приложение №1).</w:t>
      </w:r>
    </w:p>
    <w:p w:rsidR="00CC792D" w:rsidRPr="0005331C" w:rsidRDefault="00E312A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r w:rsidRPr="0005331C">
        <w:rPr>
          <w:rFonts w:ascii="Arial" w:eastAsia="Times New Roman" w:hAnsi="Arial" w:cs="Arial"/>
          <w:sz w:val="24"/>
          <w:szCs w:val="24"/>
          <w:lang w:eastAsia="ru-RU"/>
        </w:rPr>
        <w:t>со дня его официального опубликования.</w:t>
      </w:r>
      <w:r w:rsidRPr="0005331C">
        <w:rPr>
          <w:rFonts w:ascii="Arial" w:hAnsi="Arial" w:cs="Arial"/>
          <w:sz w:val="24"/>
          <w:szCs w:val="24"/>
        </w:rPr>
        <w:t xml:space="preserve"> </w:t>
      </w:r>
    </w:p>
    <w:p w:rsidR="00CC792D" w:rsidRPr="0005331C" w:rsidRDefault="00E312A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C792D" w:rsidRPr="0005331C" w:rsidRDefault="00CC792D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CC792D" w:rsidRPr="0005331C" w:rsidRDefault="00E312A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 xml:space="preserve"> </w:t>
      </w:r>
    </w:p>
    <w:p w:rsidR="00CC792D" w:rsidRPr="0005331C" w:rsidRDefault="00E312AC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C792D" w:rsidRPr="0005331C" w:rsidRDefault="00E312AC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05331C">
        <w:rPr>
          <w:rFonts w:ascii="Arial" w:hAnsi="Arial" w:cs="Arial"/>
          <w:sz w:val="24"/>
          <w:szCs w:val="24"/>
        </w:rPr>
        <w:t>«</w:t>
      </w:r>
      <w:proofErr w:type="gramStart"/>
      <w:r w:rsidRPr="0005331C">
        <w:rPr>
          <w:rFonts w:ascii="Arial" w:hAnsi="Arial" w:cs="Arial"/>
          <w:sz w:val="24"/>
          <w:szCs w:val="24"/>
        </w:rPr>
        <w:t xml:space="preserve">Тыргетуй»   </w:t>
      </w:r>
      <w:proofErr w:type="gramEnd"/>
      <w:r w:rsidRPr="000533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Иванова Л.Н.</w:t>
      </w:r>
    </w:p>
    <w:p w:rsidR="00CC792D" w:rsidRPr="0005331C" w:rsidRDefault="00CC792D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</w:p>
    <w:p w:rsidR="00CC792D" w:rsidRPr="0005331C" w:rsidRDefault="00E312AC">
      <w:pPr>
        <w:widowControl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ru-RU"/>
        </w:rPr>
        <w:sectPr w:rsidR="00CC792D" w:rsidRPr="0005331C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  <w:r w:rsidRPr="000533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C792D" w:rsidRPr="0005331C" w:rsidRDefault="00E312AC">
      <w:pPr>
        <w:spacing w:after="0"/>
        <w:ind w:left="5245"/>
        <w:rPr>
          <w:rFonts w:ascii="Courier New" w:hAnsi="Courier New" w:cs="Courier New"/>
          <w:caps/>
        </w:rPr>
      </w:pPr>
      <w:bookmarkStart w:id="1" w:name="_Hlk193540180"/>
      <w:bookmarkEnd w:id="1"/>
      <w:r w:rsidRPr="0005331C">
        <w:rPr>
          <w:rFonts w:ascii="Courier New" w:hAnsi="Courier New" w:cs="Courier New"/>
        </w:rPr>
        <w:lastRenderedPageBreak/>
        <w:t>Приложение №1</w:t>
      </w:r>
    </w:p>
    <w:p w:rsidR="00CC792D" w:rsidRPr="0005331C" w:rsidRDefault="00E312AC">
      <w:pPr>
        <w:spacing w:after="0"/>
        <w:ind w:left="5245"/>
        <w:rPr>
          <w:rFonts w:ascii="Courier New" w:hAnsi="Courier New" w:cs="Courier New"/>
        </w:rPr>
      </w:pPr>
      <w:r w:rsidRPr="0005331C">
        <w:rPr>
          <w:rFonts w:ascii="Courier New" w:hAnsi="Courier New" w:cs="Courier New"/>
        </w:rPr>
        <w:t>к постановлению главы муниципального образования «Тыргетуй»</w:t>
      </w:r>
    </w:p>
    <w:p w:rsidR="00CC792D" w:rsidRDefault="0005331C" w:rsidP="0005331C">
      <w:pPr>
        <w:spacing w:after="0"/>
        <w:ind w:left="524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«15</w:t>
      </w:r>
      <w:r w:rsidR="00E312AC" w:rsidRPr="0005331C">
        <w:rPr>
          <w:rFonts w:ascii="Courier New" w:hAnsi="Courier New" w:cs="Courier New"/>
        </w:rPr>
        <w:t xml:space="preserve">» </w:t>
      </w:r>
      <w:r>
        <w:rPr>
          <w:rFonts w:ascii="Courier New" w:hAnsi="Courier New" w:cs="Courier New"/>
        </w:rPr>
        <w:t>октября</w:t>
      </w:r>
      <w:r w:rsidR="00E312AC" w:rsidRPr="0005331C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25</w:t>
      </w:r>
      <w:r w:rsidR="00E312AC" w:rsidRPr="0005331C">
        <w:rPr>
          <w:rFonts w:ascii="Courier New" w:hAnsi="Courier New" w:cs="Courier New"/>
        </w:rPr>
        <w:t>г.  №</w:t>
      </w:r>
      <w:bookmarkStart w:id="2" w:name="_Hlk193540180_Копия_1"/>
      <w:bookmarkEnd w:id="2"/>
      <w:r>
        <w:rPr>
          <w:rFonts w:ascii="Courier New" w:hAnsi="Courier New" w:cs="Courier New"/>
        </w:rPr>
        <w:t>33-П</w:t>
      </w:r>
    </w:p>
    <w:p w:rsidR="0005331C" w:rsidRPr="0005331C" w:rsidRDefault="0005331C" w:rsidP="0005331C">
      <w:pPr>
        <w:spacing w:after="0"/>
        <w:ind w:left="5245"/>
        <w:rPr>
          <w:rFonts w:ascii="Courier New" w:hAnsi="Courier New" w:cs="Courier New"/>
        </w:rPr>
      </w:pP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ОСУЩЕСТВЛЕНИЯ МОНИТОРИНГА ЗАКУПОК ТОВАРОВ, РАБОТ, УСЛУГ 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МУНИЦИПАЛЬНЫХ НУЖД  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ОБРАЗОВАНИЯ «</w:t>
      </w:r>
      <w:r w:rsidRPr="0005331C">
        <w:rPr>
          <w:rFonts w:ascii="Arial" w:eastAsia="Calibri" w:hAnsi="Arial" w:cs="Arial"/>
          <w:b/>
          <w:bCs/>
          <w:kern w:val="2"/>
          <w:sz w:val="24"/>
          <w:szCs w:val="24"/>
          <w:lang w:eastAsia="ru-RU"/>
        </w:rPr>
        <w:t>ТЫРГЕТУЙ</w:t>
      </w: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  <w:bookmarkStart w:id="3" w:name="_GoBack"/>
      <w:bookmarkEnd w:id="3"/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CC792D" w:rsidRPr="0005331C" w:rsidRDefault="00E312A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определяет правила осуществления мониторинга закупок товаров, работ, услуг для обеспечения муниципальных нужд муниципального образования «Тыргетуй» (далее - мониторинг)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закон).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1.2. Мониторинг осуществляется в отношении закупочной деятельности муниципальных заказчиков муниципального образования «Тыргетуй», заказчиков, являющихся муниципальными бюджетными учреждениями муниципального образования «Тыргетуй», муниципальными унитарными предприятиями, а в случаях, предусмотренных частью 4 статьи 15 Федерального закона, в отношении закупочной деятельности муниципальных автономных учреждений, иных получателей средств </w:t>
      </w:r>
      <w:proofErr w:type="gramStart"/>
      <w:r w:rsidRPr="0005331C">
        <w:rPr>
          <w:rFonts w:ascii="Arial" w:eastAsia="Times New Roman" w:hAnsi="Arial" w:cs="Arial"/>
          <w:sz w:val="24"/>
          <w:szCs w:val="24"/>
          <w:lang w:eastAsia="ru-RU"/>
        </w:rPr>
        <w:t>бюджета  муниципального</w:t>
      </w:r>
      <w:proofErr w:type="gramEnd"/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 «Тыргетуй».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1.3. Мониторинг обеспечивается администрацией муниципального образования «Тыргетуй», осуществляющей полномочия по организации мониторинга закупок в муниципальном образовании «Тыргетуй» (далее - Уполномоченный орган) посредством осуществления на постоянной основе сбора, обобщения, систематизации и оценки информации: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об осуществлении закупок товаров, работ, услуг для обеспечения муниципальных нужд муниципального образования «Тыргетуй», содержащейся в единой информационной системе в сфере закупок (далее - ЕИС);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полученной в ответ на запросы Уполномоченного органа от заказчиков;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поступающей в Уполномоченный орган от контрольных органов в сфере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содержащейся в письмах и обращениях, поступающих в Уполномоченный орган от федеральных органов исполнительной власти, федеральных государственных органов, органов государственной власти Иркутской области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 вступивших в законную силу судебных решениях и судебных актах, касающихся вопросов осуществления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содержащейся в иных открытых источниках.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1.4. Уполномоченный орган в целях проведения мониторинга вправе: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запрашивать и получать на основании мотивированного запроса в письменной форме документы и информацию, необходимые для обеспечения мониторинга;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1.5. Мониторингом не охватываются закупки, по которым определение поставщика (подрядчика, исполнителя) осуществляется закрытыми способами. 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проведения мониторинга</w:t>
      </w: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CC792D" w:rsidRPr="0005331C" w:rsidRDefault="00E312A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мониторинга осуществляется: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размещенных извещений об осуществлении закупок конкурентными способами определения поставщика (подрядчика, исполнителя), включая совместные закупки, и суммы начальных (максимальных) цен контрактов (далее - НМЦК), указанных в таких извещениях, в том числе с разбивкой по способам определения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состоявшихся конкурентных закупок и суммы их НМЦК, в том числе с разбивкой по способам определения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не привели к заключению контракта, и суммы их НМЦК,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привели к заключению контракта с единственным участником, и суммы их НМЦК, в том числе с разбивкой по способам определения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заключенных контрактов;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среднего количества поданных заявок на участие в конкурентных закупках;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размера экономии по результатам заключения контрактов по конкурентным закупкам;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расторгнутых контрактов, заключенных по результатам проведения конкурентных закупок. 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CC792D" w:rsidRPr="0005331C" w:rsidRDefault="00E312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Оформление результатов мониторинга</w:t>
      </w: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C792D" w:rsidRPr="0005331C" w:rsidRDefault="00E3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CC792D" w:rsidRPr="0005331C" w:rsidRDefault="00E312A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3.1. Результаты мониторинга оформляются Уполномоченным органом путем подготовки ежеквартальных аналитических отчетов, а также сводного аналитического отчета по итогам года.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3.2. Ежеквартальный аналитический отчет содержит следующие данные: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состоявшихся и несостоявшихся конкурентных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 по результатам проведения конкурентных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3.3. Сводный аналитический отчет по итогам года содержит следующие данные: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закупок, в том числе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среднее количество поданных заявок на участие в конкурентных закупках;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состоявшихся и несостоявшихся конкурентных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доля несостоявшихся закупок от общего количества завершенных закупок,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контрактов, в том числе по результатам состоявшихся и несостоявшихся конкурентных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расторгнутых контрактов, заключенных по результатам проведения конкурентных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количество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поступивших жалобах на действия (бездействие) заказчика, уполномоченного органа, комиссии по осуществлению закупок, ее членов, оператора электронной площадки;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информация о типовых нарушениях законодательства о контрактной системе в сфере закупок (при наличии);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3.4. Аналитический отчет формируется Уполномоченным органом ежеквартально нарастающим итогом до 30-го числа месяца, следующего за отчетным кварталом, а сводный аналитический отчет за прошедший год в срок не позднее 1 марта года, следующего за отчетным годом. </w:t>
      </w:r>
    </w:p>
    <w:p w:rsidR="00CC792D" w:rsidRPr="0005331C" w:rsidRDefault="00E312AC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331C">
        <w:rPr>
          <w:rFonts w:ascii="Arial" w:eastAsia="Times New Roman" w:hAnsi="Arial" w:cs="Arial"/>
          <w:sz w:val="24"/>
          <w:szCs w:val="24"/>
          <w:lang w:eastAsia="ru-RU"/>
        </w:rPr>
        <w:t xml:space="preserve">3.5. Аналитический отчет и сводный аналитический отчет размещаются на официальном сайте Уполномоченного органа в течение 10 рабочих дней с даты формирования отчета. </w:t>
      </w:r>
    </w:p>
    <w:p w:rsidR="00CC792D" w:rsidRPr="0005331C" w:rsidRDefault="00CC79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CC792D" w:rsidRPr="0005331C">
      <w:headerReference w:type="default" r:id="rId10"/>
      <w:headerReference w:type="first" r:id="rId11"/>
      <w:pgSz w:w="11906" w:h="16838"/>
      <w:pgMar w:top="851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8B" w:rsidRDefault="00351E8B">
      <w:pPr>
        <w:spacing w:after="0" w:line="240" w:lineRule="auto"/>
      </w:pPr>
      <w:r>
        <w:separator/>
      </w:r>
    </w:p>
  </w:endnote>
  <w:endnote w:type="continuationSeparator" w:id="0">
    <w:p w:rsidR="00351E8B" w:rsidRDefault="003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8B" w:rsidRDefault="00351E8B">
      <w:pPr>
        <w:spacing w:after="0" w:line="240" w:lineRule="auto"/>
      </w:pPr>
      <w:r>
        <w:separator/>
      </w:r>
    </w:p>
  </w:footnote>
  <w:footnote w:type="continuationSeparator" w:id="0">
    <w:p w:rsidR="00351E8B" w:rsidRDefault="0035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2D" w:rsidRDefault="00CC79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/>
    <w:sdtContent>
      <w:p w:rsidR="00CC792D" w:rsidRDefault="00E312A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C792D" w:rsidRDefault="00351E8B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2D" w:rsidRDefault="00CC792D">
    <w:pPr>
      <w:pStyle w:val="a4"/>
      <w:jc w:val="center"/>
    </w:pPr>
  </w:p>
  <w:p w:rsidR="00CC792D" w:rsidRDefault="00CC792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868787"/>
      <w:docPartObj>
        <w:docPartGallery w:val="Page Numbers (Top of Page)"/>
        <w:docPartUnique/>
      </w:docPartObj>
    </w:sdtPr>
    <w:sdtEndPr/>
    <w:sdtContent>
      <w:p w:rsidR="00CC792D" w:rsidRDefault="00E312A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31C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C792D" w:rsidRDefault="00351E8B">
        <w:pPr>
          <w:pStyle w:val="a4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2D" w:rsidRDefault="00CC792D">
    <w:pPr>
      <w:pStyle w:val="a4"/>
      <w:jc w:val="center"/>
    </w:pPr>
  </w:p>
  <w:p w:rsidR="00CC792D" w:rsidRDefault="00CC79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2D"/>
    <w:rsid w:val="0005331C"/>
    <w:rsid w:val="00351E8B"/>
    <w:rsid w:val="005010AD"/>
    <w:rsid w:val="005A21F8"/>
    <w:rsid w:val="008C02DA"/>
    <w:rsid w:val="00CC792D"/>
    <w:rsid w:val="00E3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160C"/>
  <w15:docId w15:val="{3DA92875-97C7-4AF9-A47D-B4678BC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33E6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D711F"/>
  </w:style>
  <w:style w:type="character" w:customStyle="1" w:styleId="a5">
    <w:name w:val="Нижний колонтитул Знак"/>
    <w:basedOn w:val="a0"/>
    <w:link w:val="a6"/>
    <w:uiPriority w:val="99"/>
    <w:qFormat/>
    <w:rsid w:val="000D711F"/>
  </w:style>
  <w:style w:type="character" w:customStyle="1" w:styleId="a7">
    <w:name w:val="Текст сноски Знак"/>
    <w:basedOn w:val="a0"/>
    <w:link w:val="a8"/>
    <w:uiPriority w:val="99"/>
    <w:qFormat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uiPriority w:val="99"/>
    <w:unhideWhenUsed/>
    <w:qFormat/>
    <w:rsid w:val="00C23692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A07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133E6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015B96"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C2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qFormat/>
    <w:rsid w:val="00660435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133E6F"/>
    <w:pP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Standard">
    <w:name w:val="Standard"/>
    <w:qFormat/>
    <w:rsid w:val="001804F1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af4">
    <w:name w:val="Normal (Web)"/>
    <w:basedOn w:val="a"/>
    <w:uiPriority w:val="99"/>
    <w:unhideWhenUsed/>
    <w:qFormat/>
    <w:rsid w:val="00BF21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F21C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5">
    <w:name w:val="Верхний колонтитул слева"/>
    <w:basedOn w:val="a4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9A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015B96"/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CD95-AFD2-47AF-A5A6-3EC7D5F2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dc:description/>
  <cp:lastModifiedBy>Тыргетуй</cp:lastModifiedBy>
  <cp:revision>5</cp:revision>
  <cp:lastPrinted>2025-07-11T04:32:00Z</cp:lastPrinted>
  <dcterms:created xsi:type="dcterms:W3CDTF">2025-10-14T09:18:00Z</dcterms:created>
  <dcterms:modified xsi:type="dcterms:W3CDTF">2025-10-15T01:35:00Z</dcterms:modified>
  <dc:language>ru-RU</dc:language>
</cp:coreProperties>
</file>