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AB" w:rsidRPr="002755AB" w:rsidRDefault="002755AB" w:rsidP="002755AB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755AB" w:rsidRDefault="002755AB" w:rsidP="002755AB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2755AB" w:rsidRDefault="002755AB" w:rsidP="002755AB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755AB" w:rsidRDefault="002755AB" w:rsidP="002755AB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муниципального образования «Тихоновка»</w:t>
      </w:r>
    </w:p>
    <w:p w:rsidR="002755AB" w:rsidRDefault="002755AB" w:rsidP="002755AB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2755AB" w:rsidRDefault="002755AB" w:rsidP="002755AB">
      <w:pPr>
        <w:pStyle w:val="ConsTitle"/>
        <w:widowControl/>
        <w:tabs>
          <w:tab w:val="left" w:pos="360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2755AB" w:rsidRDefault="002755AB" w:rsidP="002755AB">
      <w:pPr>
        <w:pStyle w:val="ConsTitle"/>
        <w:widowControl/>
        <w:tabs>
          <w:tab w:val="left" w:pos="360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седьмая сессия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E325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>торого созыва</w:t>
      </w:r>
    </w:p>
    <w:p w:rsidR="002755AB" w:rsidRDefault="002755AB" w:rsidP="002755AB">
      <w:pPr>
        <w:pStyle w:val="ConsTitle"/>
        <w:widowControl/>
        <w:tabs>
          <w:tab w:val="left" w:pos="3600"/>
        </w:tabs>
        <w:ind w:right="0"/>
        <w:rPr>
          <w:rFonts w:ascii="Times New Roman" w:hAnsi="Times New Roman"/>
          <w:sz w:val="24"/>
          <w:szCs w:val="24"/>
        </w:rPr>
      </w:pPr>
    </w:p>
    <w:p w:rsidR="002755AB" w:rsidRDefault="002755AB" w:rsidP="002755AB">
      <w:pPr>
        <w:pStyle w:val="ConsTitle"/>
        <w:widowControl/>
        <w:tabs>
          <w:tab w:val="left" w:pos="360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26 декабря 2011 г.                                                                </w:t>
      </w:r>
      <w:r w:rsidR="00BA10A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с.  Тихоновка</w:t>
      </w:r>
    </w:p>
    <w:p w:rsidR="002755AB" w:rsidRDefault="002755AB" w:rsidP="002755AB">
      <w:pPr>
        <w:pStyle w:val="ConsTitle"/>
        <w:widowControl/>
        <w:tabs>
          <w:tab w:val="left" w:pos="3600"/>
        </w:tabs>
        <w:ind w:right="0"/>
        <w:rPr>
          <w:rFonts w:ascii="Times New Roman" w:hAnsi="Times New Roman"/>
          <w:sz w:val="24"/>
          <w:szCs w:val="24"/>
        </w:rPr>
      </w:pPr>
    </w:p>
    <w:p w:rsidR="002755AB" w:rsidRDefault="00BA10AE" w:rsidP="002755A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РЕШЕНИЕ №  117</w:t>
      </w:r>
    </w:p>
    <w:p w:rsidR="002755AB" w:rsidRDefault="002755AB" w:rsidP="002755A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755AB" w:rsidRDefault="002755AB" w:rsidP="002755AB">
      <w:pPr>
        <w:rPr>
          <w:rFonts w:ascii="Times New Roman" w:hAnsi="Times New Roman"/>
          <w:sz w:val="24"/>
          <w:szCs w:val="24"/>
        </w:rPr>
      </w:pPr>
      <w:r>
        <w:t>«Об изменении и дополнении в решение Думы №111 от 25 ноября 2011 года «О бюджете муниципального образования «Тихоновка» на 2012 год»</w:t>
      </w:r>
    </w:p>
    <w:p w:rsidR="002755AB" w:rsidRDefault="002755AB" w:rsidP="002755A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протесту прокуратуры №07-34-11 от 02.12.2011 года»</w:t>
      </w:r>
    </w:p>
    <w:p w:rsidR="002755AB" w:rsidRDefault="002755AB" w:rsidP="002755AB">
      <w:pPr>
        <w:rPr>
          <w:rFonts w:ascii="Times New Roman" w:hAnsi="Times New Roman"/>
          <w:sz w:val="24"/>
          <w:szCs w:val="24"/>
        </w:rPr>
      </w:pPr>
    </w:p>
    <w:p w:rsidR="002755AB" w:rsidRDefault="002755AB" w:rsidP="002755AB"/>
    <w:p w:rsidR="002755AB" w:rsidRDefault="002755AB" w:rsidP="002755AB"/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Статья 1. Утвердить бюджет муниципального образования «Тихоновка»  на 2012 год по расходам в сумме  4746,05 тыс. рублей и доходам в сумме  4711,50 тыс. рублей.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превышение расходов над доходами бюджета муниципального образования «Тихоновка» в размере  34,43 тыс. рублей или 5 процентов объема доходов местного бюджета без учета безвозмездных поступлений и дополнительных нормативных отчислений налоговых и неналоговых доходов.</w:t>
      </w:r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Статья 2. Установить, что доходы местного бюджета, поступающие в 2012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денежные взыскания, штрафы:</w:t>
      </w:r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-за нарушение лесного законодательства, установленное на лесных участках, находящихся в муниципальной собственности, - в местный бюджет по нормативу 100 процентов;</w:t>
      </w:r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- за нарушение водного законодательства, установленное на водных объектах, находящихся в муниципальной собственности, - в местный бюджет по нормативу 100 процентов;</w:t>
      </w:r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-за нарушение законодательства Российской Федерации о размещении заказов на поставки товаров, выполнение работ, оказанных услуг для нужд поселений, - в местный бюджет по нормативу 100 процентов;</w:t>
      </w:r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поселений, - в бюджет поселения по нормативу 100 процентов;</w:t>
      </w:r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-суммы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 и решениями судов, - в бюджет поселения по нормативу 100 процентов;   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законодательством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грузов,- по нормативу 100;       </w:t>
      </w:r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-земельного налога – по нормативу 100 процентов; </w:t>
      </w:r>
    </w:p>
    <w:p w:rsidR="002755AB" w:rsidRDefault="002755AB" w:rsidP="002755AB">
      <w:pPr>
        <w:ind w:left="540" w:firstLine="52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-налога на имущество физических лиц – по нормативу 100 процентов; 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-единого сельскохозяйственного налога - по нормативу </w:t>
      </w:r>
      <w:r>
        <w:rPr>
          <w:color w:val="000000"/>
          <w:sz w:val="26"/>
          <w:szCs w:val="26"/>
        </w:rPr>
        <w:t xml:space="preserve">35 </w:t>
      </w:r>
      <w:r>
        <w:rPr>
          <w:sz w:val="26"/>
          <w:szCs w:val="26"/>
        </w:rPr>
        <w:t xml:space="preserve">процентов; 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-налог на доходы физических лиц, - в бюджет по нормативу 10 процентов;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-доходов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казенных,- по нормативу 100 процентов;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-доходов от продажи имущества (кроме акций и иных форм участия в капитале), находящегося в муниципальной собственности, за исключением имущества  муниципальных бюджетных и автономных учреждений, а также </w:t>
      </w:r>
      <w:r>
        <w:rPr>
          <w:sz w:val="26"/>
          <w:szCs w:val="26"/>
        </w:rPr>
        <w:lastRenderedPageBreak/>
        <w:t>имущества муниципальных унитарных предприятий, в том числе казенных,- по нормативу 100 процентов;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-доходов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межселенных территорий и предназначенных для целей жилищного строительства;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доходы от сдачи в аренду имущества, находящегося в муниципальной собственности;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от продажи имущества, находящегося в муниципальной собственности;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доходов от платных услуг, оказываемых муниципальными казенными  учреждениями;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установленным муниципальными правовыми актами представительных органов муниципальных образований.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В бюджете поселений до разграничения государственной собственности на землю поступают: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участков,- по нормативу 50 процентов; 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-доходы,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образованиям, за исключением случаев, установленных федеральными законами; 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-доходы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доходов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>
        <w:rPr>
          <w:sz w:val="26"/>
          <w:szCs w:val="26"/>
        </w:rPr>
        <w:t xml:space="preserve"> иное;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-доходы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органами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 </w:t>
      </w:r>
      <w:proofErr w:type="gramEnd"/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Статья 3. Утвердить прогнозируемые доходы бюджета муниципального образования «Тихоновка» на 2012 год по классификации доходов бюджетов Российской Федерации согласно приложению 2  к настоящему Решению.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Статья 4. Утвердить перечень главных администраторов доходов местного бюджета согласно приложению 5 к настоящему решению.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Статья 5. </w:t>
      </w:r>
      <w:proofErr w:type="gramStart"/>
      <w:r>
        <w:rPr>
          <w:sz w:val="26"/>
          <w:szCs w:val="26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  <w:proofErr w:type="gramEnd"/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заключение и оплата местными учреждениями договоров, исполнение которых осуществляется за счет средств местного бюджета, производятся в пределах утвержденных смет доходов и расходов.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6. Утвердить распределение расходов местного бюджета на 2012 год по разделам, подразделам, целевым статьям расходов, видам </w:t>
      </w:r>
      <w:proofErr w:type="gramStart"/>
      <w:r>
        <w:rPr>
          <w:sz w:val="26"/>
          <w:szCs w:val="26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6"/>
          <w:szCs w:val="26"/>
        </w:rPr>
        <w:t xml:space="preserve"> согласно приложению 3 к настоящему Решению.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Статья 7. Учесть в расходах местного бюджета размер резервного фонда в объеме 5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или не более 3 процентов от объема доходов без учета финансовой помощи.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8. Утвердить распределение расходов местного бюджета на 2012 год по разделам, подразделам, целевым статьям расходов, видам </w:t>
      </w:r>
      <w:proofErr w:type="gramStart"/>
      <w:r>
        <w:rPr>
          <w:sz w:val="26"/>
          <w:szCs w:val="26"/>
        </w:rPr>
        <w:t>расходов ведомственной классификации расходов бюджетов Российской Федерации</w:t>
      </w:r>
      <w:proofErr w:type="gramEnd"/>
      <w:r>
        <w:rPr>
          <w:sz w:val="26"/>
          <w:szCs w:val="26"/>
        </w:rPr>
        <w:t xml:space="preserve"> согласно приложению 3 к настоящему Решению.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Статья 9. В ходе исполнения настоящего Решения по представлению администрацией муниципального образования «Тихоновка» вносятся изменения: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1) ведомственную, функциональную и экономическую структуры расходов местного бюджета – в случае передачи полномочий по финансированию отдельных учреждений, мероприятий и расходов;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ведомственную, функциональную и экономическую структуры расходов местного бюджета – в случае образования в ходе исполнения местного бюджета на 2010 год экономии по отдельным разделам, </w:t>
      </w:r>
      <w:r>
        <w:rPr>
          <w:sz w:val="26"/>
          <w:szCs w:val="26"/>
        </w:rPr>
        <w:lastRenderedPageBreak/>
        <w:t>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3) иных случаях, установленных бюджетным законодательством Российской Федерации.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</w:p>
    <w:p w:rsidR="002755AB" w:rsidRDefault="002755AB" w:rsidP="000E32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Статья 10. Органы местного самоуправления муниципального образования   рекомендовано принимать решения в 2012 году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2755AB" w:rsidRDefault="002755AB" w:rsidP="000E325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11.  </w:t>
      </w:r>
      <w:proofErr w:type="gramStart"/>
      <w:r>
        <w:rPr>
          <w:sz w:val="26"/>
          <w:szCs w:val="26"/>
        </w:rPr>
        <w:t>В целях обеспечения финансовой дисциплины муниципального  поселения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Российской Федерации от 1 июля 2002 года № 135 рекомендовать органу местного самоуправления обеспечить в 2012 году  направлять на выплату заработной платы в объеме  не менее 50 процентов поступающих собственных  доходов.</w:t>
      </w:r>
      <w:proofErr w:type="gramEnd"/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12.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2755AB" w:rsidRDefault="002755AB" w:rsidP="000E325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2755AB" w:rsidRDefault="002755AB" w:rsidP="000E32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Статья 13. Установить верхний предел внутреннего муниципального долга по состоянию на 1 января   2013 года планируется в размере  34,4 тыс. рублей.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14. Администрация муниципального образования вправе в ходе исполнения Решения Думы «О местном бюджете на 2012 год» вносить изменения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Ведомственную структуру расходов местного бюджета – в случае передачи полномочий по финансированию отдельных учреждений, мероприятий или видов расходов;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</w:t>
      </w:r>
      <w:proofErr w:type="gramStart"/>
      <w:r>
        <w:rPr>
          <w:sz w:val="26"/>
          <w:szCs w:val="26"/>
        </w:rPr>
        <w:t>Ведомственную, функциональную и экономическую структуры расходов местного бюджета путем уменьшения ассигнования на сумму, израсходованную получателями бюджетных средств незаконно или не по целевому назначению – по результатам проверок, проводимых финансовыми органами Иркутской области, контрольными органами Министерства Финансов Российской Федерации и Счетной палаты Российской Федерации;</w:t>
      </w:r>
      <w:proofErr w:type="gramEnd"/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Экономическую структуру расходов местного бюджета – в случае образования в ходе исполнения местного бюджета на 2012 год экономии по отдельным статьям экономической классификации расходов;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>Ведомственную, функциональную и экономическую структуры расходов местного бюджета – на сумму остатков средств местного бюджета на 1 января 2012 года на счетах бюджетополучателей, финансируемых из местного бюджета и в иных случаях, возникающих при исполнении бюджета поселения;</w:t>
      </w:r>
      <w:proofErr w:type="gramEnd"/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органов»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Ведомственную, функциональную и экономическую структуры расходов местного бюджета – на суммы средств, выделяемых из местного бюджета бюджетополучателям муниципального образования за счет средств резервного фонда администрации муниципального образования.          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</w:p>
    <w:p w:rsidR="002755AB" w:rsidRDefault="002755AB" w:rsidP="002755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Статья 15. Настоящее Решение вступает в силу с 1 января 2012 года.</w:t>
      </w: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16. Опубликовать настоящее Решение в средствах массовой информации. </w:t>
      </w:r>
    </w:p>
    <w:p w:rsidR="002755AB" w:rsidRDefault="002755AB" w:rsidP="000E325B">
      <w:pPr>
        <w:jc w:val="both"/>
        <w:rPr>
          <w:sz w:val="26"/>
          <w:szCs w:val="26"/>
        </w:rPr>
      </w:pPr>
    </w:p>
    <w:p w:rsidR="002755AB" w:rsidRDefault="002755AB" w:rsidP="002755AB">
      <w:pPr>
        <w:ind w:left="540" w:firstLine="528"/>
        <w:jc w:val="both"/>
        <w:rPr>
          <w:sz w:val="26"/>
          <w:szCs w:val="26"/>
        </w:rPr>
      </w:pPr>
    </w:p>
    <w:p w:rsidR="002755AB" w:rsidRDefault="000E325B" w:rsidP="002755AB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МО администрации__________</w:t>
      </w:r>
      <w:r w:rsidR="002755A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</w:t>
      </w:r>
      <w:r w:rsidR="002755AB">
        <w:rPr>
          <w:sz w:val="26"/>
          <w:szCs w:val="26"/>
        </w:rPr>
        <w:t xml:space="preserve">       М.В. Скоробогатова</w:t>
      </w:r>
    </w:p>
    <w:p w:rsidR="002755AB" w:rsidRDefault="002755AB" w:rsidP="000E325B">
      <w:pPr>
        <w:pStyle w:val="ConsTitle"/>
        <w:widowControl/>
        <w:tabs>
          <w:tab w:val="left" w:pos="3600"/>
        </w:tabs>
        <w:ind w:right="0"/>
        <w:jc w:val="center"/>
        <w:rPr>
          <w:sz w:val="24"/>
          <w:szCs w:val="24"/>
        </w:rPr>
      </w:pPr>
      <w:r>
        <w:rPr>
          <w:b w:val="0"/>
          <w:bCs w:val="0"/>
          <w:sz w:val="26"/>
          <w:szCs w:val="26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7E062B" w:rsidRDefault="007E062B"/>
    <w:sectPr w:rsidR="007E062B" w:rsidSect="007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CA7"/>
    <w:multiLevelType w:val="hybridMultilevel"/>
    <w:tmpl w:val="E0C230EC"/>
    <w:lvl w:ilvl="0" w:tplc="45369DC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755AB"/>
    <w:rsid w:val="000E325B"/>
    <w:rsid w:val="002755AB"/>
    <w:rsid w:val="007E062B"/>
    <w:rsid w:val="00BA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755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2011-12-30T04:30:00Z</dcterms:created>
  <dcterms:modified xsi:type="dcterms:W3CDTF">2011-12-30T04:50:00Z</dcterms:modified>
</cp:coreProperties>
</file>