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6F5E1A">
              <w:rPr>
                <w:rStyle w:val="11"/>
                <w:rFonts w:ascii="Times New Roman" w:hAnsi="Times New Roman" w:cs="Times New Roman"/>
                <w:sz w:val="24"/>
                <w:szCs w:val="24"/>
                <w:lang w:eastAsia="ru-RU"/>
              </w:rPr>
              <w:t>689</w:t>
            </w:r>
            <w:r w:rsidR="00AC20A1">
              <w:rPr>
                <w:rStyle w:val="11"/>
                <w:rFonts w:ascii="Times New Roman" w:hAnsi="Times New Roman" w:cs="Times New Roman"/>
                <w:sz w:val="24"/>
                <w:szCs w:val="24"/>
                <w:lang w:eastAsia="ru-RU"/>
              </w:rPr>
              <w:t> </w:t>
            </w:r>
            <w:r w:rsidR="006F5E1A">
              <w:rPr>
                <w:rStyle w:val="11"/>
                <w:rFonts w:ascii="Times New Roman" w:hAnsi="Times New Roman" w:cs="Times New Roman"/>
                <w:sz w:val="24"/>
                <w:szCs w:val="24"/>
                <w:lang w:eastAsia="ru-RU"/>
              </w:rPr>
              <w:t>99</w:t>
            </w:r>
            <w:r w:rsidR="00AC20A1">
              <w:rPr>
                <w:rStyle w:val="11"/>
                <w:rFonts w:ascii="Times New Roman" w:hAnsi="Times New Roman" w:cs="Times New Roman"/>
                <w:sz w:val="24"/>
                <w:szCs w:val="24"/>
                <w:lang w:eastAsia="ru-RU"/>
              </w:rPr>
              <w:t>9,90</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6F5E1A">
              <w:rPr>
                <w:rFonts w:ascii="Times New Roman" w:hAnsi="Times New Roman" w:cs="Times New Roman"/>
                <w:sz w:val="24"/>
                <w:szCs w:val="24"/>
              </w:rPr>
              <w:t>136</w:t>
            </w:r>
            <w:r w:rsidR="00AC20A1">
              <w:rPr>
                <w:rFonts w:ascii="Times New Roman" w:hAnsi="Times New Roman" w:cs="Times New Roman"/>
                <w:sz w:val="24"/>
                <w:szCs w:val="24"/>
              </w:rPr>
              <w:t> </w:t>
            </w:r>
            <w:r w:rsidR="006F5E1A">
              <w:rPr>
                <w:rFonts w:ascii="Times New Roman" w:hAnsi="Times New Roman" w:cs="Times New Roman"/>
                <w:sz w:val="24"/>
                <w:szCs w:val="24"/>
              </w:rPr>
              <w:t>6</w:t>
            </w:r>
            <w:r w:rsidR="00AC20A1">
              <w:rPr>
                <w:rFonts w:ascii="Times New Roman" w:hAnsi="Times New Roman" w:cs="Times New Roman"/>
                <w:sz w:val="24"/>
                <w:szCs w:val="24"/>
              </w:rPr>
              <w:t>50,68</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6F5E1A">
              <w:rPr>
                <w:rFonts w:ascii="Times New Roman" w:hAnsi="Times New Roman" w:cs="Times New Roman"/>
                <w:sz w:val="24"/>
                <w:szCs w:val="24"/>
              </w:rPr>
              <w:t>553 349,22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117</w:t>
            </w:r>
            <w:r w:rsidR="00AC20A1">
              <w:rPr>
                <w:rStyle w:val="11"/>
                <w:rFonts w:ascii="Times New Roman" w:hAnsi="Times New Roman" w:cs="Times New Roman"/>
                <w:sz w:val="24"/>
                <w:szCs w:val="24"/>
                <w:lang w:eastAsia="ru-RU"/>
              </w:rPr>
              <w:t> </w:t>
            </w:r>
            <w:r w:rsidR="006F5E1A">
              <w:rPr>
                <w:rStyle w:val="11"/>
                <w:rFonts w:ascii="Times New Roman" w:hAnsi="Times New Roman" w:cs="Times New Roman"/>
                <w:sz w:val="24"/>
                <w:szCs w:val="24"/>
                <w:lang w:eastAsia="ru-RU"/>
              </w:rPr>
              <w:t>69</w:t>
            </w:r>
            <w:r w:rsidR="00AC20A1">
              <w:rPr>
                <w:rStyle w:val="11"/>
                <w:rFonts w:ascii="Times New Roman" w:hAnsi="Times New Roman" w:cs="Times New Roman"/>
                <w:sz w:val="24"/>
                <w:szCs w:val="24"/>
                <w:lang w:eastAsia="ru-RU"/>
              </w:rPr>
              <w:t>3,45</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109 929,82</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109 784,95</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110 247,71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110 247,67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6F5E1A">
              <w:rPr>
                <w:rFonts w:ascii="Times New Roman" w:hAnsi="Times New Roman"/>
              </w:rPr>
              <w:t>455 520,30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6F5E1A">
              <w:rPr>
                <w:sz w:val="24"/>
                <w:szCs w:val="24"/>
              </w:rPr>
              <w:t>74 328,80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6F5E1A">
              <w:rPr>
                <w:sz w:val="24"/>
                <w:szCs w:val="24"/>
              </w:rPr>
              <w:t>73 771,00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F5E1A">
              <w:rPr>
                <w:sz w:val="24"/>
                <w:szCs w:val="24"/>
              </w:rPr>
              <w:t>234</w:t>
            </w:r>
            <w:r w:rsidR="008933B1">
              <w:rPr>
                <w:sz w:val="24"/>
                <w:szCs w:val="24"/>
              </w:rPr>
              <w:t> 479,60</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6F5E1A">
              <w:rPr>
                <w:sz w:val="24"/>
                <w:szCs w:val="24"/>
              </w:rPr>
              <w:t>43</w:t>
            </w:r>
            <w:r w:rsidR="00AC20A1">
              <w:rPr>
                <w:sz w:val="24"/>
                <w:szCs w:val="24"/>
              </w:rPr>
              <w:t> </w:t>
            </w:r>
            <w:r w:rsidR="006F5E1A">
              <w:rPr>
                <w:sz w:val="24"/>
                <w:szCs w:val="24"/>
              </w:rPr>
              <w:t>36</w:t>
            </w:r>
            <w:r w:rsidR="00AC20A1">
              <w:rPr>
                <w:sz w:val="24"/>
                <w:szCs w:val="24"/>
              </w:rPr>
              <w:t>4,65</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6F5E1A">
              <w:rPr>
                <w:sz w:val="24"/>
                <w:szCs w:val="24"/>
              </w:rPr>
              <w:t>36 158,82</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6F5E1A">
              <w:rPr>
                <w:color w:val="000000"/>
                <w:sz w:val="24"/>
                <w:szCs w:val="24"/>
                <w:shd w:val="clear" w:color="auto" w:fill="FFFFFF"/>
                <w:lang w:eastAsia="en-US"/>
              </w:rPr>
              <w:t>35 460,45</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6F5E1A">
              <w:rPr>
                <w:sz w:val="24"/>
                <w:szCs w:val="24"/>
              </w:rPr>
              <w:t>35 923,21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6F5E1A">
              <w:rPr>
                <w:rFonts w:ascii="Times New Roman" w:hAnsi="Times New Roman"/>
                <w:sz w:val="24"/>
                <w:szCs w:val="24"/>
              </w:rPr>
              <w:t>35 923,17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6F5E1A">
        <w:rPr>
          <w:rStyle w:val="11"/>
          <w:rFonts w:ascii="Times New Roman" w:eastAsia="Calibri" w:hAnsi="Times New Roman" w:cs="Times New Roman"/>
          <w:sz w:val="28"/>
          <w:szCs w:val="28"/>
        </w:rPr>
        <w:t>689</w:t>
      </w:r>
      <w:r w:rsidR="008933B1">
        <w:rPr>
          <w:rStyle w:val="11"/>
          <w:rFonts w:ascii="Times New Roman" w:eastAsia="Calibri" w:hAnsi="Times New Roman" w:cs="Times New Roman"/>
          <w:sz w:val="28"/>
          <w:szCs w:val="28"/>
        </w:rPr>
        <w:t> 999,90</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6F5E1A">
        <w:rPr>
          <w:rStyle w:val="11"/>
          <w:rFonts w:eastAsia="Calibri"/>
          <w:sz w:val="28"/>
          <w:szCs w:val="28"/>
          <w:lang w:eastAsia="en-US"/>
        </w:rPr>
        <w:t>136</w:t>
      </w:r>
      <w:r w:rsidR="008933B1">
        <w:rPr>
          <w:rStyle w:val="11"/>
          <w:rFonts w:eastAsia="Calibri"/>
          <w:sz w:val="28"/>
          <w:szCs w:val="28"/>
          <w:lang w:eastAsia="en-US"/>
        </w:rPr>
        <w:t> </w:t>
      </w:r>
      <w:r w:rsidR="006F5E1A">
        <w:rPr>
          <w:rStyle w:val="11"/>
          <w:rFonts w:eastAsia="Calibri"/>
          <w:sz w:val="28"/>
          <w:szCs w:val="28"/>
          <w:lang w:eastAsia="en-US"/>
        </w:rPr>
        <w:t>6</w:t>
      </w:r>
      <w:r w:rsidR="008933B1">
        <w:rPr>
          <w:rStyle w:val="11"/>
          <w:rFonts w:eastAsia="Calibri"/>
          <w:sz w:val="28"/>
          <w:szCs w:val="28"/>
          <w:lang w:eastAsia="en-US"/>
        </w:rPr>
        <w:t>50,68</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6F5E1A">
        <w:rPr>
          <w:rStyle w:val="11"/>
          <w:rFonts w:ascii="Times New Roman" w:eastAsia="Calibri" w:hAnsi="Times New Roman" w:cs="Times New Roman"/>
          <w:sz w:val="28"/>
          <w:szCs w:val="28"/>
        </w:rPr>
        <w:t>553 349,22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136</w:t>
            </w:r>
            <w:r w:rsidR="00AC20A1">
              <w:rPr>
                <w:rStyle w:val="11"/>
                <w:rFonts w:ascii="Times New Roman" w:hAnsi="Times New Roman" w:cs="Times New Roman"/>
                <w:sz w:val="24"/>
                <w:szCs w:val="24"/>
                <w:lang w:eastAsia="ru-RU"/>
              </w:rPr>
              <w:t> </w:t>
            </w:r>
            <w:r w:rsidR="006F5E1A">
              <w:rPr>
                <w:rStyle w:val="11"/>
                <w:rFonts w:ascii="Times New Roman" w:hAnsi="Times New Roman" w:cs="Times New Roman"/>
                <w:sz w:val="24"/>
                <w:szCs w:val="24"/>
                <w:lang w:eastAsia="ru-RU"/>
              </w:rPr>
              <w:t>6</w:t>
            </w:r>
            <w:r w:rsidR="00AC20A1">
              <w:rPr>
                <w:rStyle w:val="11"/>
                <w:rFonts w:ascii="Times New Roman" w:hAnsi="Times New Roman" w:cs="Times New Roman"/>
                <w:sz w:val="24"/>
                <w:szCs w:val="24"/>
                <w:lang w:eastAsia="ru-RU"/>
              </w:rPr>
              <w:t>50,68</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25</w:t>
            </w:r>
            <w:r w:rsidR="00AC20A1">
              <w:rPr>
                <w:rStyle w:val="11"/>
                <w:rFonts w:ascii="Times New Roman" w:hAnsi="Times New Roman" w:cs="Times New Roman"/>
                <w:sz w:val="24"/>
                <w:szCs w:val="24"/>
                <w:lang w:eastAsia="ru-RU"/>
              </w:rPr>
              <w:t> </w:t>
            </w:r>
            <w:r w:rsidR="006F5E1A">
              <w:rPr>
                <w:rStyle w:val="11"/>
                <w:rFonts w:ascii="Times New Roman" w:hAnsi="Times New Roman" w:cs="Times New Roman"/>
                <w:sz w:val="24"/>
                <w:szCs w:val="24"/>
                <w:lang w:eastAsia="ru-RU"/>
              </w:rPr>
              <w:t>9</w:t>
            </w:r>
            <w:r w:rsidR="00AC20A1">
              <w:rPr>
                <w:rStyle w:val="11"/>
                <w:rFonts w:ascii="Times New Roman" w:hAnsi="Times New Roman" w:cs="Times New Roman"/>
                <w:sz w:val="24"/>
                <w:szCs w:val="24"/>
                <w:lang w:eastAsia="ru-RU"/>
              </w:rPr>
              <w:t>90,65</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2 073,0</w:t>
            </w:r>
            <w:r w:rsidR="002B20D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Pr="00110796"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Pr>
                <w:sz w:val="24"/>
                <w:szCs w:val="24"/>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6F5E1A">
              <w:rPr>
                <w:sz w:val="24"/>
                <w:szCs w:val="24"/>
              </w:rPr>
              <w:t>134</w:t>
            </w:r>
            <w:r w:rsidR="00AC20A1">
              <w:rPr>
                <w:sz w:val="24"/>
                <w:szCs w:val="24"/>
              </w:rPr>
              <w:t> </w:t>
            </w:r>
            <w:r w:rsidR="006F5E1A">
              <w:rPr>
                <w:sz w:val="24"/>
                <w:szCs w:val="24"/>
              </w:rPr>
              <w:t>5</w:t>
            </w:r>
            <w:r w:rsidR="00AC20A1">
              <w:rPr>
                <w:sz w:val="24"/>
                <w:szCs w:val="24"/>
              </w:rPr>
              <w:t>77,68</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25</w:t>
            </w:r>
            <w:r w:rsidR="00AC20A1">
              <w:rPr>
                <w:rStyle w:val="11"/>
                <w:rFonts w:ascii="Times New Roman" w:hAnsi="Times New Roman" w:cs="Times New Roman"/>
                <w:sz w:val="24"/>
                <w:szCs w:val="24"/>
                <w:lang w:eastAsia="ru-RU"/>
              </w:rPr>
              <w:t> </w:t>
            </w:r>
            <w:r w:rsidR="006F5E1A">
              <w:rPr>
                <w:rStyle w:val="11"/>
                <w:rFonts w:ascii="Times New Roman" w:hAnsi="Times New Roman" w:cs="Times New Roman"/>
                <w:sz w:val="24"/>
                <w:szCs w:val="24"/>
                <w:lang w:eastAsia="ru-RU"/>
              </w:rPr>
              <w:t>9</w:t>
            </w:r>
            <w:r w:rsidR="00AC20A1">
              <w:rPr>
                <w:rStyle w:val="11"/>
                <w:rFonts w:ascii="Times New Roman" w:hAnsi="Times New Roman" w:cs="Times New Roman"/>
                <w:sz w:val="24"/>
                <w:szCs w:val="24"/>
                <w:lang w:eastAsia="ru-RU"/>
              </w:rPr>
              <w:t>90,65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6F5E1A">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6F5E1A">
              <w:rPr>
                <w:rStyle w:val="11"/>
                <w:rFonts w:ascii="Times New Roman" w:hAnsi="Times New Roman" w:cs="Times New Roman"/>
                <w:sz w:val="24"/>
                <w:szCs w:val="24"/>
                <w:lang w:eastAsia="ru-RU"/>
              </w:rPr>
              <w:t>553 349,22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91 702,8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90 334,20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6F5E1A">
              <w:rPr>
                <w:rFonts w:ascii="Times New Roman" w:hAnsi="Times New Roman"/>
              </w:rPr>
              <w:t>453 447,30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lastRenderedPageBreak/>
              <w:t xml:space="preserve">- в 2019 году – </w:t>
            </w:r>
            <w:r w:rsidR="006F5E1A">
              <w:rPr>
                <w:sz w:val="24"/>
                <w:szCs w:val="24"/>
              </w:rPr>
              <w:t>74 328,80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6F5E1A">
              <w:rPr>
                <w:sz w:val="24"/>
                <w:szCs w:val="24"/>
              </w:rPr>
              <w:t>73 771,00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F5E1A">
              <w:rPr>
                <w:sz w:val="24"/>
                <w:szCs w:val="24"/>
              </w:rPr>
              <w:t>99 901,92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17 374,00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6F5E1A">
              <w:rPr>
                <w:sz w:val="24"/>
                <w:szCs w:val="24"/>
              </w:rPr>
              <w:t>16 563,20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6F5E1A">
              <w:rPr>
                <w:color w:val="000000"/>
                <w:sz w:val="24"/>
                <w:szCs w:val="24"/>
                <w:shd w:val="clear" w:color="auto" w:fill="FFFFFF"/>
                <w:lang w:eastAsia="en-US"/>
              </w:rPr>
              <w:t>16 920,50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6F5E1A">
              <w:rPr>
                <w:sz w:val="24"/>
                <w:szCs w:val="24"/>
              </w:rPr>
              <w:t>16 920,50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6F5E1A">
              <w:rPr>
                <w:rFonts w:ascii="Times New Roman" w:hAnsi="Times New Roman"/>
                <w:sz w:val="24"/>
                <w:szCs w:val="24"/>
              </w:rPr>
              <w:t>16 920,50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6F5E1A" w:rsidRPr="00356CBA" w:rsidRDefault="006F5E1A" w:rsidP="006F5E1A">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AC20A1" w:rsidRPr="00CF688F" w:rsidRDefault="00AC20A1" w:rsidP="00AC20A1">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AC20A1" w:rsidRPr="00332C3A" w:rsidTr="0032108D">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AC20A1" w:rsidRPr="00332C3A" w:rsidRDefault="00AC20A1" w:rsidP="0032108D">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AC20A1" w:rsidRPr="00332C3A" w:rsidRDefault="00AC20A1" w:rsidP="0032108D">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AC20A1" w:rsidRPr="00332C3A" w:rsidRDefault="00AC20A1" w:rsidP="0032108D">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AC20A1" w:rsidRPr="00332C3A" w:rsidRDefault="00AC20A1" w:rsidP="0032108D">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AC20A1" w:rsidRPr="00332C3A" w:rsidRDefault="00AC20A1" w:rsidP="0032108D">
            <w:pPr>
              <w:jc w:val="center"/>
            </w:pPr>
            <w:r w:rsidRPr="00332C3A">
              <w:t>Объем финансирования муниципальной программы, тыс. руб.</w:t>
            </w:r>
          </w:p>
        </w:tc>
      </w:tr>
      <w:tr w:rsidR="00AC20A1" w:rsidRPr="00332C3A" w:rsidTr="0032108D">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top w:val="single" w:sz="4" w:space="0" w:color="auto"/>
              <w:left w:val="single" w:sz="4" w:space="0" w:color="auto"/>
              <w:bottom w:val="single" w:sz="4" w:space="0" w:color="000000"/>
              <w:right w:val="single" w:sz="4" w:space="0" w:color="auto"/>
            </w:tcBorders>
            <w:vAlign w:val="center"/>
          </w:tcPr>
          <w:p w:rsidR="00AC20A1" w:rsidRPr="00332C3A" w:rsidRDefault="00AC20A1" w:rsidP="0032108D"/>
        </w:tc>
        <w:tc>
          <w:tcPr>
            <w:tcW w:w="1654" w:type="dxa"/>
            <w:vMerge/>
            <w:tcBorders>
              <w:top w:val="single" w:sz="4" w:space="0" w:color="auto"/>
              <w:left w:val="single" w:sz="4" w:space="0" w:color="auto"/>
              <w:bottom w:val="single" w:sz="4" w:space="0" w:color="000000"/>
              <w:right w:val="single" w:sz="4" w:space="0" w:color="auto"/>
            </w:tcBorders>
            <w:vAlign w:val="center"/>
          </w:tcPr>
          <w:p w:rsidR="00AC20A1" w:rsidRPr="00332C3A" w:rsidRDefault="00AC20A1" w:rsidP="0032108D"/>
        </w:tc>
        <w:tc>
          <w:tcPr>
            <w:tcW w:w="1421" w:type="dxa"/>
            <w:vMerge w:val="restart"/>
            <w:tcBorders>
              <w:top w:val="nil"/>
              <w:left w:val="single" w:sz="4" w:space="0" w:color="auto"/>
              <w:bottom w:val="single" w:sz="4" w:space="0" w:color="auto"/>
              <w:right w:val="single" w:sz="4" w:space="0" w:color="auto"/>
            </w:tcBorders>
          </w:tcPr>
          <w:p w:rsidR="00AC20A1" w:rsidRPr="00332C3A" w:rsidRDefault="00AC20A1" w:rsidP="0032108D">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AC20A1" w:rsidRPr="00332C3A" w:rsidRDefault="00AC20A1" w:rsidP="0032108D">
            <w:pPr>
              <w:jc w:val="center"/>
            </w:pPr>
            <w:r w:rsidRPr="00332C3A">
              <w:t>В том числе по годам</w:t>
            </w:r>
          </w:p>
        </w:tc>
      </w:tr>
      <w:tr w:rsidR="00AC20A1" w:rsidRPr="00332C3A" w:rsidTr="0032108D">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top w:val="single" w:sz="4" w:space="0" w:color="auto"/>
              <w:left w:val="single" w:sz="4" w:space="0" w:color="auto"/>
              <w:bottom w:val="single" w:sz="4" w:space="0" w:color="000000"/>
              <w:right w:val="single" w:sz="4" w:space="0" w:color="auto"/>
            </w:tcBorders>
            <w:vAlign w:val="center"/>
          </w:tcPr>
          <w:p w:rsidR="00AC20A1" w:rsidRPr="00332C3A" w:rsidRDefault="00AC20A1" w:rsidP="0032108D"/>
        </w:tc>
        <w:tc>
          <w:tcPr>
            <w:tcW w:w="1654" w:type="dxa"/>
            <w:vMerge/>
            <w:tcBorders>
              <w:top w:val="single" w:sz="4" w:space="0" w:color="auto"/>
              <w:left w:val="single" w:sz="4" w:space="0" w:color="auto"/>
              <w:bottom w:val="single" w:sz="4" w:space="0" w:color="000000"/>
              <w:right w:val="single" w:sz="4" w:space="0" w:color="auto"/>
            </w:tcBorders>
            <w:vAlign w:val="center"/>
          </w:tcPr>
          <w:p w:rsidR="00AC20A1" w:rsidRPr="00332C3A" w:rsidRDefault="00AC20A1" w:rsidP="0032108D"/>
        </w:tc>
        <w:tc>
          <w:tcPr>
            <w:tcW w:w="1421" w:type="dxa"/>
            <w:vMerge/>
            <w:tcBorders>
              <w:top w:val="nil"/>
              <w:left w:val="single" w:sz="4" w:space="0" w:color="auto"/>
              <w:bottom w:val="single" w:sz="4" w:space="0" w:color="auto"/>
              <w:right w:val="single" w:sz="4" w:space="0" w:color="auto"/>
            </w:tcBorders>
            <w:vAlign w:val="center"/>
          </w:tcPr>
          <w:p w:rsidR="00AC20A1" w:rsidRPr="00332C3A" w:rsidRDefault="00AC20A1" w:rsidP="0032108D"/>
        </w:tc>
        <w:tc>
          <w:tcPr>
            <w:tcW w:w="1157" w:type="dxa"/>
            <w:tcBorders>
              <w:top w:val="nil"/>
              <w:left w:val="nil"/>
              <w:bottom w:val="single" w:sz="4" w:space="0" w:color="auto"/>
              <w:right w:val="single" w:sz="4" w:space="0" w:color="auto"/>
            </w:tcBorders>
          </w:tcPr>
          <w:p w:rsidR="00AC20A1" w:rsidRPr="00332C3A" w:rsidRDefault="00AC20A1" w:rsidP="0032108D">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AC20A1" w:rsidRPr="00332C3A" w:rsidRDefault="00AC20A1" w:rsidP="0032108D">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AC20A1" w:rsidRPr="00332C3A" w:rsidRDefault="00AC20A1" w:rsidP="0032108D">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AC20A1" w:rsidRPr="00332C3A" w:rsidRDefault="00AC20A1" w:rsidP="0032108D">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AC20A1" w:rsidRPr="00332C3A" w:rsidRDefault="00AC20A1" w:rsidP="0032108D">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AC20A1" w:rsidRPr="00332C3A" w:rsidRDefault="00AC20A1" w:rsidP="0032108D">
            <w:pPr>
              <w:jc w:val="center"/>
            </w:pPr>
            <w:r w:rsidRPr="00332C3A">
              <w:t>20</w:t>
            </w:r>
            <w:r>
              <w:t>23</w:t>
            </w:r>
            <w:r w:rsidRPr="00332C3A">
              <w:t xml:space="preserve"> </w:t>
            </w:r>
          </w:p>
        </w:tc>
      </w:tr>
      <w:tr w:rsidR="00AC20A1" w:rsidRPr="00332C3A" w:rsidTr="0032108D">
        <w:trPr>
          <w:trHeight w:val="415"/>
          <w:jc w:val="center"/>
        </w:trPr>
        <w:tc>
          <w:tcPr>
            <w:tcW w:w="666" w:type="dxa"/>
            <w:tcBorders>
              <w:top w:val="nil"/>
              <w:left w:val="single" w:sz="4" w:space="0" w:color="auto"/>
              <w:bottom w:val="single" w:sz="4" w:space="0" w:color="auto"/>
              <w:right w:val="single" w:sz="4" w:space="0" w:color="auto"/>
            </w:tcBorders>
          </w:tcPr>
          <w:p w:rsidR="00AC20A1" w:rsidRPr="00332C3A" w:rsidRDefault="00AC20A1" w:rsidP="0032108D">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AC20A1" w:rsidRPr="00332C3A" w:rsidRDefault="00AC20A1" w:rsidP="0032108D">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AC20A1" w:rsidRPr="00332C3A" w:rsidTr="0032108D">
        <w:trPr>
          <w:trHeight w:val="265"/>
          <w:jc w:val="center"/>
        </w:trPr>
        <w:tc>
          <w:tcPr>
            <w:tcW w:w="666" w:type="dxa"/>
            <w:vMerge w:val="restart"/>
            <w:tcBorders>
              <w:top w:val="nil"/>
              <w:left w:val="single" w:sz="4" w:space="0" w:color="auto"/>
              <w:right w:val="single" w:sz="4" w:space="0" w:color="auto"/>
            </w:tcBorders>
          </w:tcPr>
          <w:p w:rsidR="00AC20A1" w:rsidRPr="00332C3A" w:rsidRDefault="00AC20A1" w:rsidP="0032108D">
            <w:pPr>
              <w:jc w:val="center"/>
            </w:pPr>
            <w:r w:rsidRPr="00332C3A">
              <w:t> </w:t>
            </w:r>
          </w:p>
        </w:tc>
        <w:tc>
          <w:tcPr>
            <w:tcW w:w="2581" w:type="dxa"/>
            <w:vMerge w:val="restart"/>
            <w:tcBorders>
              <w:top w:val="nil"/>
              <w:left w:val="single" w:sz="4" w:space="0" w:color="auto"/>
              <w:right w:val="single" w:sz="4" w:space="0" w:color="auto"/>
            </w:tcBorders>
            <w:vAlign w:val="center"/>
          </w:tcPr>
          <w:p w:rsidR="00AC20A1" w:rsidRPr="00332C3A" w:rsidRDefault="00AC20A1" w:rsidP="0032108D">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nil"/>
              <w:left w:val="nil"/>
              <w:bottom w:val="single" w:sz="4" w:space="0" w:color="auto"/>
              <w:right w:val="single" w:sz="4" w:space="0" w:color="auto"/>
            </w:tcBorders>
            <w:vAlign w:val="center"/>
          </w:tcPr>
          <w:p w:rsidR="00AC20A1" w:rsidRPr="00AA1113" w:rsidRDefault="00AC20A1" w:rsidP="0032108D">
            <w:pPr>
              <w:jc w:val="center"/>
            </w:pPr>
            <w:r>
              <w:t>689 999,90</w:t>
            </w:r>
          </w:p>
        </w:tc>
        <w:tc>
          <w:tcPr>
            <w:tcW w:w="1157" w:type="dxa"/>
            <w:tcBorders>
              <w:top w:val="nil"/>
              <w:left w:val="nil"/>
              <w:bottom w:val="single" w:sz="4" w:space="0" w:color="auto"/>
              <w:right w:val="single" w:sz="4" w:space="0" w:color="auto"/>
            </w:tcBorders>
            <w:vAlign w:val="center"/>
          </w:tcPr>
          <w:p w:rsidR="00AC20A1" w:rsidRPr="00AA1113" w:rsidRDefault="00AC20A1" w:rsidP="0032108D">
            <w:pPr>
              <w:jc w:val="center"/>
            </w:pPr>
            <w:r>
              <w:t>132 096,29</w:t>
            </w:r>
          </w:p>
        </w:tc>
        <w:tc>
          <w:tcPr>
            <w:tcW w:w="1129" w:type="dxa"/>
            <w:tcBorders>
              <w:top w:val="nil"/>
              <w:left w:val="nil"/>
              <w:bottom w:val="single" w:sz="4" w:space="0" w:color="auto"/>
              <w:right w:val="single" w:sz="4" w:space="0" w:color="auto"/>
            </w:tcBorders>
            <w:vAlign w:val="center"/>
          </w:tcPr>
          <w:p w:rsidR="00AC20A1" w:rsidRPr="00AA1113" w:rsidRDefault="00AC20A1" w:rsidP="0032108D">
            <w:pPr>
              <w:jc w:val="center"/>
            </w:pPr>
            <w:r>
              <w:t>117 693,45</w:t>
            </w:r>
          </w:p>
        </w:tc>
        <w:tc>
          <w:tcPr>
            <w:tcW w:w="1200" w:type="dxa"/>
            <w:tcBorders>
              <w:top w:val="nil"/>
              <w:left w:val="nil"/>
              <w:bottom w:val="single" w:sz="4" w:space="0" w:color="auto"/>
              <w:right w:val="single" w:sz="4" w:space="0" w:color="auto"/>
            </w:tcBorders>
            <w:vAlign w:val="center"/>
          </w:tcPr>
          <w:p w:rsidR="00AC20A1" w:rsidRPr="00AA1113" w:rsidRDefault="00AC20A1" w:rsidP="0032108D">
            <w:pPr>
              <w:jc w:val="center"/>
            </w:pPr>
            <w:r>
              <w:t>109 929,82</w:t>
            </w:r>
          </w:p>
        </w:tc>
        <w:tc>
          <w:tcPr>
            <w:tcW w:w="1148" w:type="dxa"/>
            <w:tcBorders>
              <w:top w:val="nil"/>
              <w:left w:val="nil"/>
              <w:bottom w:val="single" w:sz="4" w:space="0" w:color="auto"/>
              <w:right w:val="single" w:sz="4" w:space="0" w:color="auto"/>
            </w:tcBorders>
            <w:vAlign w:val="center"/>
          </w:tcPr>
          <w:p w:rsidR="00AC20A1" w:rsidRPr="00AA1113" w:rsidRDefault="00AC20A1" w:rsidP="0032108D">
            <w:pPr>
              <w:ind w:left="22"/>
              <w:jc w:val="center"/>
            </w:pPr>
            <w:r>
              <w:t>109 784,95</w:t>
            </w:r>
          </w:p>
        </w:tc>
        <w:tc>
          <w:tcPr>
            <w:tcW w:w="1262" w:type="dxa"/>
            <w:tcBorders>
              <w:top w:val="nil"/>
              <w:left w:val="nil"/>
              <w:bottom w:val="single" w:sz="4" w:space="0" w:color="auto"/>
              <w:right w:val="single" w:sz="4" w:space="0" w:color="auto"/>
            </w:tcBorders>
            <w:vAlign w:val="center"/>
          </w:tcPr>
          <w:p w:rsidR="00AC20A1" w:rsidRPr="00AA1113" w:rsidRDefault="00AC20A1" w:rsidP="0032108D">
            <w:pPr>
              <w:jc w:val="center"/>
            </w:pPr>
            <w:r>
              <w:t>110 247,71</w:t>
            </w:r>
          </w:p>
        </w:tc>
        <w:tc>
          <w:tcPr>
            <w:tcW w:w="1214" w:type="dxa"/>
            <w:tcBorders>
              <w:top w:val="nil"/>
              <w:left w:val="nil"/>
              <w:bottom w:val="single" w:sz="4" w:space="0" w:color="auto"/>
              <w:right w:val="single" w:sz="4" w:space="0" w:color="auto"/>
            </w:tcBorders>
            <w:vAlign w:val="center"/>
          </w:tcPr>
          <w:p w:rsidR="00AC20A1" w:rsidRPr="00AA1113" w:rsidRDefault="00AC20A1" w:rsidP="0032108D">
            <w:pPr>
              <w:jc w:val="center"/>
            </w:pPr>
            <w:r>
              <w:t>110 247,67</w:t>
            </w:r>
          </w:p>
        </w:tc>
      </w:tr>
      <w:tr w:rsidR="00AC20A1" w:rsidRPr="00332C3A" w:rsidTr="0032108D">
        <w:trPr>
          <w:trHeight w:val="460"/>
          <w:jc w:val="center"/>
        </w:trPr>
        <w:tc>
          <w:tcPr>
            <w:tcW w:w="666" w:type="dxa"/>
            <w:vMerge/>
            <w:tcBorders>
              <w:left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right w:val="single" w:sz="4" w:space="0" w:color="auto"/>
            </w:tcBorders>
            <w:vAlign w:val="center"/>
          </w:tcPr>
          <w:p w:rsidR="00AC20A1" w:rsidRPr="00332C3A" w:rsidRDefault="00AC20A1" w:rsidP="0032108D"/>
        </w:tc>
        <w:tc>
          <w:tcPr>
            <w:tcW w:w="1654" w:type="dxa"/>
            <w:tcBorders>
              <w:top w:val="nil"/>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AC20A1" w:rsidRPr="00AA1113" w:rsidRDefault="00AC20A1" w:rsidP="0032108D">
            <w:pPr>
              <w:jc w:val="center"/>
            </w:pPr>
            <w:r>
              <w:t>234 479,60</w:t>
            </w:r>
          </w:p>
        </w:tc>
        <w:tc>
          <w:tcPr>
            <w:tcW w:w="1157" w:type="dxa"/>
            <w:tcBorders>
              <w:top w:val="nil"/>
              <w:left w:val="nil"/>
              <w:bottom w:val="single" w:sz="4" w:space="0" w:color="auto"/>
              <w:right w:val="single" w:sz="4" w:space="0" w:color="auto"/>
            </w:tcBorders>
            <w:vAlign w:val="center"/>
          </w:tcPr>
          <w:p w:rsidR="00AC20A1" w:rsidRPr="00AA1113" w:rsidRDefault="00AC20A1" w:rsidP="0032108D">
            <w:pPr>
              <w:jc w:val="center"/>
            </w:pPr>
            <w:r>
              <w:t>47 649,29</w:t>
            </w:r>
          </w:p>
        </w:tc>
        <w:tc>
          <w:tcPr>
            <w:tcW w:w="1129" w:type="dxa"/>
            <w:tcBorders>
              <w:top w:val="nil"/>
              <w:left w:val="nil"/>
              <w:bottom w:val="single" w:sz="4" w:space="0" w:color="auto"/>
              <w:right w:val="single" w:sz="4" w:space="0" w:color="auto"/>
            </w:tcBorders>
            <w:vAlign w:val="center"/>
          </w:tcPr>
          <w:p w:rsidR="00AC20A1" w:rsidRPr="00AA1113" w:rsidRDefault="00AC20A1" w:rsidP="0032108D">
            <w:pPr>
              <w:jc w:val="center"/>
            </w:pPr>
            <w:r>
              <w:t>43 364,65</w:t>
            </w:r>
          </w:p>
        </w:tc>
        <w:tc>
          <w:tcPr>
            <w:tcW w:w="1200" w:type="dxa"/>
            <w:tcBorders>
              <w:top w:val="nil"/>
              <w:left w:val="nil"/>
              <w:bottom w:val="single" w:sz="4" w:space="0" w:color="auto"/>
              <w:right w:val="single" w:sz="4" w:space="0" w:color="auto"/>
            </w:tcBorders>
            <w:vAlign w:val="center"/>
          </w:tcPr>
          <w:p w:rsidR="00AC20A1" w:rsidRPr="00AA1113" w:rsidRDefault="00AC20A1" w:rsidP="0032108D">
            <w:pPr>
              <w:jc w:val="center"/>
            </w:pPr>
            <w:r>
              <w:t>36 158,82</w:t>
            </w:r>
          </w:p>
        </w:tc>
        <w:tc>
          <w:tcPr>
            <w:tcW w:w="1148" w:type="dxa"/>
            <w:tcBorders>
              <w:top w:val="nil"/>
              <w:left w:val="nil"/>
              <w:bottom w:val="single" w:sz="4" w:space="0" w:color="auto"/>
              <w:right w:val="single" w:sz="4" w:space="0" w:color="auto"/>
            </w:tcBorders>
            <w:vAlign w:val="center"/>
          </w:tcPr>
          <w:p w:rsidR="00AC20A1" w:rsidRPr="00AA1113" w:rsidRDefault="00AC20A1" w:rsidP="0032108D">
            <w:pPr>
              <w:jc w:val="center"/>
            </w:pPr>
            <w:r>
              <w:t>35 460,45</w:t>
            </w:r>
          </w:p>
        </w:tc>
        <w:tc>
          <w:tcPr>
            <w:tcW w:w="1262" w:type="dxa"/>
            <w:tcBorders>
              <w:top w:val="nil"/>
              <w:left w:val="nil"/>
              <w:bottom w:val="single" w:sz="4" w:space="0" w:color="auto"/>
              <w:right w:val="single" w:sz="4" w:space="0" w:color="auto"/>
            </w:tcBorders>
            <w:vAlign w:val="center"/>
          </w:tcPr>
          <w:p w:rsidR="00AC20A1" w:rsidRPr="00AA1113" w:rsidRDefault="00AC20A1" w:rsidP="0032108D">
            <w:pPr>
              <w:jc w:val="center"/>
            </w:pPr>
            <w:r>
              <w:t>35 923,21</w:t>
            </w:r>
          </w:p>
        </w:tc>
        <w:tc>
          <w:tcPr>
            <w:tcW w:w="1214" w:type="dxa"/>
            <w:tcBorders>
              <w:top w:val="nil"/>
              <w:left w:val="nil"/>
              <w:bottom w:val="single" w:sz="4" w:space="0" w:color="auto"/>
              <w:right w:val="single" w:sz="4" w:space="0" w:color="auto"/>
            </w:tcBorders>
            <w:vAlign w:val="center"/>
          </w:tcPr>
          <w:p w:rsidR="00AC20A1" w:rsidRPr="00AA1113" w:rsidRDefault="00AC20A1" w:rsidP="0032108D">
            <w:pPr>
              <w:jc w:val="center"/>
            </w:pPr>
            <w:r>
              <w:t>35 923,17</w:t>
            </w:r>
          </w:p>
        </w:tc>
      </w:tr>
      <w:tr w:rsidR="00AC20A1" w:rsidRPr="00332C3A" w:rsidTr="0032108D">
        <w:trPr>
          <w:trHeight w:val="460"/>
          <w:jc w:val="center"/>
        </w:trPr>
        <w:tc>
          <w:tcPr>
            <w:tcW w:w="666"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nil"/>
              <w:left w:val="nil"/>
              <w:bottom w:val="single" w:sz="4" w:space="0" w:color="auto"/>
              <w:right w:val="single" w:sz="4" w:space="0" w:color="auto"/>
            </w:tcBorders>
            <w:vAlign w:val="center"/>
          </w:tcPr>
          <w:p w:rsidR="00AC20A1" w:rsidRPr="00332C3A" w:rsidRDefault="00AC20A1" w:rsidP="0032108D">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AC20A1" w:rsidRPr="00AA1113" w:rsidRDefault="00AC20A1" w:rsidP="0032108D">
            <w:pPr>
              <w:jc w:val="center"/>
            </w:pPr>
            <w:r>
              <w:t>455 520,30</w:t>
            </w:r>
          </w:p>
        </w:tc>
        <w:tc>
          <w:tcPr>
            <w:tcW w:w="1157" w:type="dxa"/>
            <w:tcBorders>
              <w:top w:val="nil"/>
              <w:left w:val="nil"/>
              <w:bottom w:val="single" w:sz="4" w:space="0" w:color="auto"/>
              <w:right w:val="single" w:sz="4" w:space="0" w:color="auto"/>
            </w:tcBorders>
            <w:vAlign w:val="center"/>
          </w:tcPr>
          <w:p w:rsidR="00AC20A1" w:rsidRPr="00AA1113" w:rsidRDefault="00AC20A1" w:rsidP="0032108D">
            <w:pPr>
              <w:jc w:val="center"/>
            </w:pPr>
            <w:r>
              <w:t>84 447,00</w:t>
            </w:r>
          </w:p>
        </w:tc>
        <w:tc>
          <w:tcPr>
            <w:tcW w:w="1129" w:type="dxa"/>
            <w:tcBorders>
              <w:top w:val="nil"/>
              <w:left w:val="nil"/>
              <w:bottom w:val="single" w:sz="4" w:space="0" w:color="auto"/>
              <w:right w:val="single" w:sz="4" w:space="0" w:color="auto"/>
            </w:tcBorders>
            <w:vAlign w:val="center"/>
          </w:tcPr>
          <w:p w:rsidR="00AC20A1" w:rsidRPr="00AA1113" w:rsidRDefault="00AC20A1" w:rsidP="0032108D">
            <w:pPr>
              <w:jc w:val="center"/>
            </w:pPr>
            <w:r>
              <w:t>74 328,80</w:t>
            </w:r>
          </w:p>
        </w:tc>
        <w:tc>
          <w:tcPr>
            <w:tcW w:w="1200" w:type="dxa"/>
            <w:tcBorders>
              <w:top w:val="nil"/>
              <w:left w:val="nil"/>
              <w:bottom w:val="single" w:sz="4" w:space="0" w:color="auto"/>
              <w:right w:val="single" w:sz="4" w:space="0" w:color="auto"/>
            </w:tcBorders>
            <w:vAlign w:val="center"/>
          </w:tcPr>
          <w:p w:rsidR="00AC20A1" w:rsidRPr="00AA1113" w:rsidRDefault="00AC20A1" w:rsidP="0032108D">
            <w:pPr>
              <w:jc w:val="center"/>
            </w:pPr>
            <w:r>
              <w:t>73 771,00</w:t>
            </w:r>
          </w:p>
        </w:tc>
        <w:tc>
          <w:tcPr>
            <w:tcW w:w="1148" w:type="dxa"/>
            <w:tcBorders>
              <w:top w:val="nil"/>
              <w:left w:val="nil"/>
              <w:bottom w:val="single" w:sz="4" w:space="0" w:color="auto"/>
              <w:right w:val="single" w:sz="4" w:space="0" w:color="auto"/>
            </w:tcBorders>
            <w:vAlign w:val="center"/>
          </w:tcPr>
          <w:p w:rsidR="00AC20A1" w:rsidRPr="00AA1113" w:rsidRDefault="00AC20A1" w:rsidP="0032108D">
            <w:pPr>
              <w:jc w:val="center"/>
            </w:pPr>
            <w:r>
              <w:t>74 324,50</w:t>
            </w:r>
          </w:p>
        </w:tc>
        <w:tc>
          <w:tcPr>
            <w:tcW w:w="1262" w:type="dxa"/>
            <w:tcBorders>
              <w:top w:val="nil"/>
              <w:left w:val="nil"/>
              <w:bottom w:val="single" w:sz="4" w:space="0" w:color="auto"/>
              <w:right w:val="single" w:sz="4" w:space="0" w:color="auto"/>
            </w:tcBorders>
            <w:vAlign w:val="center"/>
          </w:tcPr>
          <w:p w:rsidR="00AC20A1" w:rsidRPr="00AA1113" w:rsidRDefault="00AC20A1" w:rsidP="0032108D">
            <w:pPr>
              <w:jc w:val="center"/>
            </w:pPr>
            <w:r>
              <w:t>74 324,50</w:t>
            </w:r>
          </w:p>
        </w:tc>
        <w:tc>
          <w:tcPr>
            <w:tcW w:w="1214" w:type="dxa"/>
            <w:tcBorders>
              <w:top w:val="nil"/>
              <w:left w:val="nil"/>
              <w:bottom w:val="single" w:sz="4" w:space="0" w:color="auto"/>
              <w:right w:val="single" w:sz="4" w:space="0" w:color="auto"/>
            </w:tcBorders>
            <w:vAlign w:val="center"/>
          </w:tcPr>
          <w:p w:rsidR="00AC20A1" w:rsidRPr="00AA1113" w:rsidRDefault="00AC20A1" w:rsidP="0032108D">
            <w:pPr>
              <w:jc w:val="center"/>
            </w:pPr>
            <w:r>
              <w:t>74 324,50</w:t>
            </w:r>
          </w:p>
        </w:tc>
      </w:tr>
      <w:tr w:rsidR="00AC20A1" w:rsidRPr="00332C3A" w:rsidTr="0032108D">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AC20A1" w:rsidRDefault="00AC20A1" w:rsidP="0032108D">
            <w:pPr>
              <w:jc w:val="center"/>
            </w:pPr>
          </w:p>
          <w:p w:rsidR="00AC20A1" w:rsidRDefault="00AC20A1" w:rsidP="0032108D">
            <w:pPr>
              <w:jc w:val="center"/>
            </w:pPr>
            <w:r>
              <w:t>1.</w:t>
            </w:r>
          </w:p>
          <w:p w:rsidR="00AC20A1" w:rsidRDefault="00AC20A1" w:rsidP="0032108D">
            <w:pPr>
              <w:jc w:val="center"/>
            </w:pPr>
          </w:p>
          <w:p w:rsidR="00AC20A1" w:rsidRDefault="00AC20A1" w:rsidP="0032108D">
            <w:pPr>
              <w:jc w:val="center"/>
            </w:pPr>
          </w:p>
          <w:p w:rsidR="00AC20A1" w:rsidRDefault="00AC20A1" w:rsidP="0032108D">
            <w:pPr>
              <w:jc w:val="center"/>
            </w:pPr>
          </w:p>
          <w:p w:rsidR="00AC20A1" w:rsidRDefault="00AC20A1" w:rsidP="0032108D">
            <w:pPr>
              <w:jc w:val="center"/>
            </w:pPr>
          </w:p>
          <w:p w:rsidR="00AC20A1" w:rsidRDefault="00AC20A1" w:rsidP="0032108D">
            <w:pPr>
              <w:jc w:val="center"/>
            </w:pPr>
          </w:p>
          <w:p w:rsidR="00AC20A1" w:rsidRDefault="00AC20A1" w:rsidP="0032108D">
            <w:pPr>
              <w:jc w:val="center"/>
            </w:pPr>
          </w:p>
          <w:p w:rsidR="00AC20A1" w:rsidRDefault="00AC20A1" w:rsidP="0032108D">
            <w:pPr>
              <w:jc w:val="center"/>
            </w:pPr>
          </w:p>
          <w:p w:rsidR="00AC20A1" w:rsidRDefault="00AC20A1" w:rsidP="0032108D">
            <w:pPr>
              <w:jc w:val="center"/>
            </w:pPr>
          </w:p>
          <w:p w:rsidR="00AC20A1" w:rsidRPr="00332C3A" w:rsidRDefault="00AC20A1" w:rsidP="0032108D">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AC20A1" w:rsidRPr="00332C3A" w:rsidTr="0032108D">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val="restart"/>
            <w:tcBorders>
              <w:top w:val="single" w:sz="4" w:space="0" w:color="auto"/>
              <w:left w:val="single" w:sz="4" w:space="0" w:color="auto"/>
              <w:right w:val="single" w:sz="4" w:space="0" w:color="auto"/>
            </w:tcBorders>
          </w:tcPr>
          <w:p w:rsidR="00AC20A1" w:rsidRDefault="00AC20A1" w:rsidP="0032108D"/>
          <w:p w:rsidR="00AC20A1" w:rsidRPr="00332C3A" w:rsidRDefault="00AC20A1" w:rsidP="0032108D">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AC20A1" w:rsidRPr="00332C3A" w:rsidRDefault="00AC20A1" w:rsidP="0032108D">
            <w:pPr>
              <w:jc w:val="center"/>
            </w:pPr>
            <w:r w:rsidRPr="00332C3A">
              <w:t> </w:t>
            </w:r>
          </w:p>
        </w:tc>
        <w:tc>
          <w:tcPr>
            <w:tcW w:w="1654" w:type="dxa"/>
            <w:tcBorders>
              <w:top w:val="nil"/>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C55F8F" w:rsidRDefault="00AC20A1" w:rsidP="0032108D">
            <w:pPr>
              <w:jc w:val="center"/>
            </w:pPr>
            <w:r>
              <w:t>136 650,68</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25 990,65</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19  002,67</w:t>
            </w:r>
          </w:p>
        </w:tc>
      </w:tr>
      <w:tr w:rsidR="00AC20A1" w:rsidRPr="00332C3A" w:rsidTr="0032108D">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right w:val="single" w:sz="4" w:space="0" w:color="auto"/>
            </w:tcBorders>
            <w:vAlign w:val="center"/>
          </w:tcPr>
          <w:p w:rsidR="00AC20A1" w:rsidRPr="00332C3A" w:rsidRDefault="00AC20A1" w:rsidP="0032108D"/>
        </w:tc>
        <w:tc>
          <w:tcPr>
            <w:tcW w:w="1654" w:type="dxa"/>
            <w:tcBorders>
              <w:top w:val="nil"/>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C55F8F" w:rsidRDefault="00AC20A1" w:rsidP="0032108D">
            <w:pPr>
              <w:jc w:val="center"/>
            </w:pPr>
            <w:r>
              <w:t>134 577,68</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25 990,65</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19  002,67</w:t>
            </w:r>
          </w:p>
        </w:tc>
      </w:tr>
      <w:tr w:rsidR="00AC20A1" w:rsidRPr="00332C3A" w:rsidTr="0032108D">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nil"/>
              <w:left w:val="nil"/>
              <w:bottom w:val="single" w:sz="4" w:space="0" w:color="auto"/>
              <w:right w:val="single" w:sz="4" w:space="0" w:color="auto"/>
            </w:tcBorders>
            <w:vAlign w:val="center"/>
          </w:tcPr>
          <w:p w:rsidR="00AC20A1" w:rsidRPr="00332C3A" w:rsidRDefault="00AC20A1" w:rsidP="0032108D">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2 073,00</w:t>
            </w:r>
          </w:p>
        </w:tc>
        <w:tc>
          <w:tcPr>
            <w:tcW w:w="1157"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2 073,00</w:t>
            </w:r>
          </w:p>
        </w:tc>
        <w:tc>
          <w:tcPr>
            <w:tcW w:w="1129"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148" w:type="dxa"/>
            <w:tcBorders>
              <w:top w:val="single" w:sz="4" w:space="0" w:color="auto"/>
              <w:left w:val="nil"/>
              <w:bottom w:val="single" w:sz="4" w:space="0" w:color="auto"/>
              <w:right w:val="single" w:sz="4" w:space="0" w:color="auto"/>
            </w:tcBorders>
            <w:vAlign w:val="center"/>
          </w:tcPr>
          <w:p w:rsidR="00AC20A1" w:rsidRPr="00C83B48" w:rsidRDefault="00AC20A1" w:rsidP="0032108D">
            <w:pPr>
              <w:jc w:val="center"/>
            </w:pPr>
          </w:p>
        </w:tc>
        <w:tc>
          <w:tcPr>
            <w:tcW w:w="1262" w:type="dxa"/>
            <w:tcBorders>
              <w:top w:val="single" w:sz="4" w:space="0" w:color="auto"/>
              <w:left w:val="nil"/>
              <w:bottom w:val="single" w:sz="4" w:space="0" w:color="auto"/>
              <w:right w:val="single" w:sz="4" w:space="0" w:color="auto"/>
            </w:tcBorders>
            <w:vAlign w:val="center"/>
          </w:tcPr>
          <w:p w:rsidR="00AC20A1" w:rsidRPr="00C83B48" w:rsidRDefault="00AC20A1" w:rsidP="0032108D">
            <w:pPr>
              <w:jc w:val="center"/>
            </w:pPr>
          </w:p>
        </w:tc>
        <w:tc>
          <w:tcPr>
            <w:tcW w:w="1214" w:type="dxa"/>
            <w:tcBorders>
              <w:top w:val="single" w:sz="4" w:space="0" w:color="auto"/>
              <w:left w:val="nil"/>
              <w:bottom w:val="single" w:sz="4" w:space="0" w:color="auto"/>
              <w:right w:val="single" w:sz="4" w:space="0" w:color="auto"/>
            </w:tcBorders>
            <w:vAlign w:val="center"/>
          </w:tcPr>
          <w:p w:rsidR="00AC20A1" w:rsidRPr="00C83B48" w:rsidRDefault="00AC20A1" w:rsidP="0032108D">
            <w:pPr>
              <w:jc w:val="center"/>
            </w:pPr>
          </w:p>
        </w:tc>
      </w:tr>
      <w:tr w:rsidR="00AC20A1" w:rsidRPr="00332C3A" w:rsidTr="0032108D">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w:t>
            </w:r>
            <w:r>
              <w:lastRenderedPageBreak/>
              <w:t xml:space="preserve">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p w:rsidR="00AC20A1" w:rsidRDefault="00AC20A1" w:rsidP="0032108D">
            <w:pPr>
              <w:jc w:val="center"/>
            </w:pPr>
          </w:p>
          <w:p w:rsidR="00AC20A1" w:rsidRDefault="00AC20A1" w:rsidP="0032108D">
            <w:pPr>
              <w:jc w:val="center"/>
            </w:pPr>
            <w:r w:rsidRPr="00332C3A">
              <w:t>Всего</w:t>
            </w:r>
          </w:p>
          <w:p w:rsidR="00AC20A1" w:rsidRDefault="00AC20A1" w:rsidP="0032108D">
            <w:pPr>
              <w:jc w:val="center"/>
            </w:pPr>
          </w:p>
          <w:p w:rsidR="00AC20A1" w:rsidRPr="00332C3A" w:rsidRDefault="00AC20A1" w:rsidP="0032108D">
            <w:pPr>
              <w:jc w:val="center"/>
            </w:pPr>
          </w:p>
        </w:tc>
        <w:tc>
          <w:tcPr>
            <w:tcW w:w="1421" w:type="dxa"/>
            <w:tcBorders>
              <w:top w:val="single" w:sz="4" w:space="0" w:color="auto"/>
              <w:left w:val="nil"/>
              <w:bottom w:val="single" w:sz="4" w:space="0" w:color="auto"/>
              <w:right w:val="single" w:sz="4" w:space="0" w:color="auto"/>
            </w:tcBorders>
            <w:vAlign w:val="center"/>
          </w:tcPr>
          <w:p w:rsidR="00AC20A1" w:rsidRPr="001247FF" w:rsidRDefault="00AC20A1" w:rsidP="0032108D">
            <w:pPr>
              <w:jc w:val="center"/>
              <w:rPr>
                <w:highlight w:val="yellow"/>
              </w:rPr>
            </w:pPr>
            <w:r>
              <w:t>136 576,03</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25 974,36</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18 996,07</w:t>
            </w:r>
          </w:p>
        </w:tc>
      </w:tr>
      <w:tr w:rsidR="00AC20A1" w:rsidRPr="00332C3A" w:rsidTr="0032108D">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Default="00AC20A1" w:rsidP="0032108D"/>
        </w:tc>
        <w:tc>
          <w:tcPr>
            <w:tcW w:w="1625"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1247FF" w:rsidRDefault="00AC20A1" w:rsidP="0032108D">
            <w:pPr>
              <w:jc w:val="center"/>
              <w:rPr>
                <w:highlight w:val="yellow"/>
              </w:rPr>
            </w:pPr>
            <w:r>
              <w:t>134 503,03</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25 974,36</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18 996,07</w:t>
            </w:r>
          </w:p>
        </w:tc>
      </w:tr>
      <w:tr w:rsidR="00AC20A1" w:rsidRPr="00332C3A" w:rsidTr="0032108D">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AC20A1" w:rsidRPr="001247FF" w:rsidRDefault="00AC20A1" w:rsidP="0032108D">
            <w:pPr>
              <w:jc w:val="center"/>
              <w:rPr>
                <w:highlight w:val="yellow"/>
              </w:rPr>
            </w:pPr>
            <w:r w:rsidRPr="008402F0">
              <w:t>2 073,0</w:t>
            </w:r>
            <w:r>
              <w:t>0</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2 073,00</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r>
      <w:tr w:rsidR="00AC20A1" w:rsidRPr="00332C3A" w:rsidTr="0032108D">
        <w:trPr>
          <w:trHeight w:val="605"/>
          <w:jc w:val="center"/>
        </w:trPr>
        <w:tc>
          <w:tcPr>
            <w:tcW w:w="666" w:type="dxa"/>
            <w:vMerge w:val="restart"/>
            <w:tcBorders>
              <w:top w:val="single" w:sz="4" w:space="0" w:color="auto"/>
              <w:left w:val="single" w:sz="4" w:space="0" w:color="auto"/>
              <w:right w:val="single" w:sz="4" w:space="0" w:color="auto"/>
            </w:tcBorders>
            <w:vAlign w:val="center"/>
          </w:tcPr>
          <w:p w:rsidR="00AC20A1" w:rsidRDefault="00AC20A1" w:rsidP="0032108D">
            <w:pPr>
              <w:jc w:val="center"/>
            </w:pPr>
          </w:p>
          <w:p w:rsidR="00AC20A1" w:rsidRDefault="00AC20A1" w:rsidP="0032108D">
            <w:pPr>
              <w:jc w:val="center"/>
            </w:pPr>
            <w:r>
              <w:t>1.1.1.</w:t>
            </w:r>
          </w:p>
          <w:p w:rsidR="00AC20A1" w:rsidRPr="00332C3A" w:rsidRDefault="00AC20A1" w:rsidP="0032108D"/>
        </w:tc>
        <w:tc>
          <w:tcPr>
            <w:tcW w:w="2581" w:type="dxa"/>
            <w:vMerge w:val="restart"/>
            <w:tcBorders>
              <w:top w:val="single" w:sz="4" w:space="0" w:color="auto"/>
              <w:left w:val="single" w:sz="4" w:space="0" w:color="auto"/>
              <w:right w:val="single" w:sz="4" w:space="0" w:color="auto"/>
            </w:tcBorders>
            <w:vAlign w:val="center"/>
          </w:tcPr>
          <w:p w:rsidR="00AC20A1" w:rsidRPr="00332C3A" w:rsidRDefault="00AC20A1" w:rsidP="0032108D">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AC20A1" w:rsidRPr="00332C3A" w:rsidRDefault="00AC20A1" w:rsidP="0032108D">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47 152,85</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8 828,43</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6 951,51</w:t>
            </w:r>
          </w:p>
        </w:tc>
        <w:tc>
          <w:tcPr>
            <w:tcW w:w="1148" w:type="dxa"/>
            <w:tcBorders>
              <w:top w:val="single" w:sz="4" w:space="0" w:color="auto"/>
              <w:left w:val="nil"/>
              <w:bottom w:val="single" w:sz="4" w:space="0" w:color="auto"/>
              <w:right w:val="single" w:sz="4" w:space="0" w:color="auto"/>
            </w:tcBorders>
            <w:vAlign w:val="center"/>
          </w:tcPr>
          <w:p w:rsidR="00AC20A1" w:rsidRPr="00AA1113" w:rsidRDefault="00AC20A1" w:rsidP="0032108D">
            <w:pPr>
              <w:jc w:val="center"/>
            </w:pPr>
            <w:r>
              <w:t>6 696,64</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7 104,40</w:t>
            </w:r>
          </w:p>
        </w:tc>
      </w:tr>
      <w:tr w:rsidR="00AC20A1" w:rsidRPr="00332C3A" w:rsidTr="0032108D">
        <w:trPr>
          <w:trHeight w:val="605"/>
          <w:jc w:val="center"/>
        </w:trPr>
        <w:tc>
          <w:tcPr>
            <w:tcW w:w="666" w:type="dxa"/>
            <w:vMerge/>
            <w:tcBorders>
              <w:top w:val="single" w:sz="4" w:space="0" w:color="auto"/>
              <w:left w:val="single" w:sz="4" w:space="0" w:color="auto"/>
              <w:right w:val="single" w:sz="4" w:space="0" w:color="auto"/>
            </w:tcBorders>
            <w:vAlign w:val="center"/>
          </w:tcPr>
          <w:p w:rsidR="00AC20A1" w:rsidRDefault="00AC20A1" w:rsidP="0032108D">
            <w:pPr>
              <w:jc w:val="center"/>
            </w:pPr>
          </w:p>
        </w:tc>
        <w:tc>
          <w:tcPr>
            <w:tcW w:w="2581" w:type="dxa"/>
            <w:vMerge/>
            <w:tcBorders>
              <w:top w:val="single" w:sz="4" w:space="0" w:color="auto"/>
              <w:left w:val="single" w:sz="4" w:space="0" w:color="auto"/>
              <w:right w:val="single" w:sz="4" w:space="0" w:color="auto"/>
            </w:tcBorders>
            <w:vAlign w:val="center"/>
          </w:tcPr>
          <w:p w:rsidR="00AC20A1" w:rsidRDefault="00AC20A1" w:rsidP="0032108D"/>
        </w:tc>
        <w:tc>
          <w:tcPr>
            <w:tcW w:w="1625" w:type="dxa"/>
            <w:vMerge/>
            <w:tcBorders>
              <w:top w:val="single" w:sz="4" w:space="0" w:color="auto"/>
              <w:left w:val="single" w:sz="4" w:space="0" w:color="auto"/>
              <w:right w:val="single" w:sz="4" w:space="0" w:color="auto"/>
            </w:tcBorders>
            <w:vAlign w:val="center"/>
          </w:tcPr>
          <w:p w:rsidR="00AC20A1"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45 582,31</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8 900,33</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8828,43</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6 951,51</w:t>
            </w:r>
          </w:p>
        </w:tc>
        <w:tc>
          <w:tcPr>
            <w:tcW w:w="1148" w:type="dxa"/>
            <w:tcBorders>
              <w:top w:val="single" w:sz="4" w:space="0" w:color="auto"/>
              <w:left w:val="nil"/>
              <w:bottom w:val="single" w:sz="4" w:space="0" w:color="auto"/>
              <w:right w:val="single" w:sz="4" w:space="0" w:color="auto"/>
            </w:tcBorders>
            <w:vAlign w:val="center"/>
          </w:tcPr>
          <w:p w:rsidR="00AC20A1" w:rsidRPr="00AA1113" w:rsidRDefault="00AC20A1" w:rsidP="0032108D">
            <w:pPr>
              <w:jc w:val="center"/>
            </w:pPr>
            <w:r>
              <w:t>6 696,64</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7 104,40</w:t>
            </w:r>
          </w:p>
        </w:tc>
      </w:tr>
      <w:tr w:rsidR="00AC20A1" w:rsidRPr="00332C3A" w:rsidTr="0032108D">
        <w:trPr>
          <w:trHeight w:val="567"/>
          <w:jc w:val="center"/>
        </w:trPr>
        <w:tc>
          <w:tcPr>
            <w:tcW w:w="666" w:type="dxa"/>
            <w:vMerge/>
            <w:tcBorders>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1 570,54</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1 570,54</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r>
      <w:tr w:rsidR="00AC20A1" w:rsidRPr="00332C3A" w:rsidTr="0032108D">
        <w:trPr>
          <w:trHeight w:val="673"/>
          <w:jc w:val="center"/>
        </w:trPr>
        <w:tc>
          <w:tcPr>
            <w:tcW w:w="666" w:type="dxa"/>
            <w:vMerge w:val="restart"/>
            <w:tcBorders>
              <w:left w:val="single" w:sz="4" w:space="0" w:color="auto"/>
              <w:right w:val="single" w:sz="4" w:space="0" w:color="auto"/>
            </w:tcBorders>
            <w:vAlign w:val="center"/>
          </w:tcPr>
          <w:p w:rsidR="00AC20A1" w:rsidRPr="00332C3A" w:rsidRDefault="00AC20A1" w:rsidP="0032108D">
            <w:r>
              <w:t>1.1.2.</w:t>
            </w:r>
          </w:p>
        </w:tc>
        <w:tc>
          <w:tcPr>
            <w:tcW w:w="2581" w:type="dxa"/>
            <w:vMerge w:val="restart"/>
            <w:tcBorders>
              <w:left w:val="single" w:sz="4" w:space="0" w:color="auto"/>
              <w:right w:val="single" w:sz="4" w:space="0" w:color="auto"/>
            </w:tcBorders>
            <w:vAlign w:val="center"/>
          </w:tcPr>
          <w:p w:rsidR="00AC20A1" w:rsidRPr="00332C3A" w:rsidRDefault="00AC20A1" w:rsidP="0032108D">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89 063,08</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17 093,93</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rsidRPr="00177E4E">
              <w:t>11 839,</w:t>
            </w:r>
            <w:r>
              <w:t>67</w:t>
            </w:r>
          </w:p>
        </w:tc>
      </w:tr>
      <w:tr w:rsidR="00AC20A1" w:rsidRPr="00332C3A" w:rsidTr="0032108D">
        <w:trPr>
          <w:trHeight w:val="673"/>
          <w:jc w:val="center"/>
        </w:trPr>
        <w:tc>
          <w:tcPr>
            <w:tcW w:w="666" w:type="dxa"/>
            <w:vMerge/>
            <w:tcBorders>
              <w:left w:val="single" w:sz="4" w:space="0" w:color="auto"/>
              <w:right w:val="single" w:sz="4" w:space="0" w:color="auto"/>
            </w:tcBorders>
            <w:vAlign w:val="center"/>
          </w:tcPr>
          <w:p w:rsidR="00AC20A1" w:rsidRDefault="00AC20A1" w:rsidP="0032108D"/>
        </w:tc>
        <w:tc>
          <w:tcPr>
            <w:tcW w:w="2581" w:type="dxa"/>
            <w:vMerge/>
            <w:tcBorders>
              <w:left w:val="single" w:sz="4" w:space="0" w:color="auto"/>
              <w:right w:val="single" w:sz="4" w:space="0" w:color="auto"/>
            </w:tcBorders>
            <w:vAlign w:val="center"/>
          </w:tcPr>
          <w:p w:rsidR="00AC20A1" w:rsidRDefault="00AC20A1" w:rsidP="0032108D"/>
        </w:tc>
        <w:tc>
          <w:tcPr>
            <w:tcW w:w="1625" w:type="dxa"/>
            <w:vMerge/>
            <w:tcBorders>
              <w:left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88 560,62</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17 093,93</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rsidRPr="00177E4E">
              <w:t>11 839,</w:t>
            </w:r>
            <w:r>
              <w:t>67</w:t>
            </w:r>
          </w:p>
        </w:tc>
      </w:tr>
      <w:tr w:rsidR="00AC20A1" w:rsidRPr="00332C3A" w:rsidTr="0032108D">
        <w:trPr>
          <w:trHeight w:val="787"/>
          <w:jc w:val="center"/>
        </w:trPr>
        <w:tc>
          <w:tcPr>
            <w:tcW w:w="666"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502,46</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502,46</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tc>
      </w:tr>
      <w:tr w:rsidR="00AC20A1" w:rsidRPr="00332C3A" w:rsidTr="0032108D">
        <w:trPr>
          <w:trHeight w:val="532"/>
          <w:jc w:val="center"/>
        </w:trPr>
        <w:tc>
          <w:tcPr>
            <w:tcW w:w="666" w:type="dxa"/>
            <w:vMerge w:val="restart"/>
            <w:tcBorders>
              <w:top w:val="single" w:sz="4" w:space="0" w:color="auto"/>
              <w:left w:val="single" w:sz="4" w:space="0" w:color="auto"/>
              <w:right w:val="single" w:sz="4" w:space="0" w:color="auto"/>
            </w:tcBorders>
            <w:vAlign w:val="center"/>
          </w:tcPr>
          <w:p w:rsidR="00AC20A1" w:rsidRDefault="00AC20A1" w:rsidP="0032108D">
            <w:r>
              <w:t>1.1.3.</w:t>
            </w:r>
          </w:p>
        </w:tc>
        <w:tc>
          <w:tcPr>
            <w:tcW w:w="2581" w:type="dxa"/>
            <w:vMerge w:val="restart"/>
            <w:tcBorders>
              <w:top w:val="single" w:sz="4" w:space="0" w:color="auto"/>
              <w:left w:val="single" w:sz="4" w:space="0" w:color="auto"/>
              <w:right w:val="single" w:sz="4" w:space="0" w:color="auto"/>
            </w:tcBorders>
            <w:vAlign w:val="center"/>
          </w:tcPr>
          <w:p w:rsidR="00AC20A1" w:rsidRDefault="00AC20A1" w:rsidP="0032108D">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360,1</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100,1</w:t>
            </w:r>
          </w:p>
        </w:tc>
        <w:tc>
          <w:tcPr>
            <w:tcW w:w="1129"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r>
      <w:tr w:rsidR="00AC20A1" w:rsidRPr="00332C3A" w:rsidTr="0032108D">
        <w:trPr>
          <w:trHeight w:val="532"/>
          <w:jc w:val="center"/>
        </w:trPr>
        <w:tc>
          <w:tcPr>
            <w:tcW w:w="666" w:type="dxa"/>
            <w:vMerge/>
            <w:tcBorders>
              <w:left w:val="single" w:sz="4" w:space="0" w:color="auto"/>
              <w:bottom w:val="single" w:sz="4" w:space="0" w:color="auto"/>
              <w:right w:val="single" w:sz="4" w:space="0" w:color="auto"/>
            </w:tcBorders>
            <w:vAlign w:val="center"/>
          </w:tcPr>
          <w:p w:rsidR="00AC20A1" w:rsidRDefault="00AC20A1" w:rsidP="0032108D"/>
        </w:tc>
        <w:tc>
          <w:tcPr>
            <w:tcW w:w="2581" w:type="dxa"/>
            <w:vMerge/>
            <w:tcBorders>
              <w:left w:val="single" w:sz="4" w:space="0" w:color="auto"/>
              <w:bottom w:val="single" w:sz="4" w:space="0" w:color="auto"/>
              <w:right w:val="single" w:sz="4" w:space="0" w:color="auto"/>
            </w:tcBorders>
            <w:vAlign w:val="center"/>
          </w:tcPr>
          <w:p w:rsidR="00AC20A1"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360,1</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100,1</w:t>
            </w:r>
          </w:p>
        </w:tc>
        <w:tc>
          <w:tcPr>
            <w:tcW w:w="1129"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52,00</w:t>
            </w:r>
          </w:p>
        </w:tc>
      </w:tr>
      <w:tr w:rsidR="00AC20A1" w:rsidRPr="00332C3A" w:rsidTr="0032108D">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AC20A1" w:rsidRDefault="00AC20A1" w:rsidP="0032108D">
            <w:r>
              <w:t>Основное мероприятие «Управление муниципальным долгом»</w:t>
            </w:r>
          </w:p>
          <w:p w:rsidR="00AC20A1" w:rsidRPr="00332C3A" w:rsidRDefault="00AC20A1" w:rsidP="0032108D"/>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3B78D8" w:rsidRDefault="00AC20A1" w:rsidP="0032108D">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12,86</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16,30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15,36</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13,49</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10,04</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6,60</w:t>
            </w:r>
          </w:p>
        </w:tc>
      </w:tr>
      <w:tr w:rsidR="00AC20A1" w:rsidRPr="00332C3A" w:rsidTr="0032108D">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3B78D8" w:rsidRDefault="00AC20A1" w:rsidP="0032108D">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12,86</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16,30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15,36</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13,49</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10,04</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6,60</w:t>
            </w:r>
          </w:p>
        </w:tc>
      </w:tr>
      <w:tr w:rsidR="00AC20A1" w:rsidRPr="00332C3A" w:rsidTr="0032108D">
        <w:trPr>
          <w:trHeight w:val="567"/>
          <w:jc w:val="center"/>
        </w:trPr>
        <w:tc>
          <w:tcPr>
            <w:tcW w:w="666" w:type="dxa"/>
            <w:vMerge w:val="restart"/>
            <w:tcBorders>
              <w:top w:val="single" w:sz="4" w:space="0" w:color="auto"/>
              <w:left w:val="single" w:sz="4" w:space="0" w:color="auto"/>
              <w:right w:val="single" w:sz="4" w:space="0" w:color="auto"/>
            </w:tcBorders>
            <w:vAlign w:val="center"/>
          </w:tcPr>
          <w:p w:rsidR="00AC20A1" w:rsidRPr="00332C3A" w:rsidRDefault="00AC20A1" w:rsidP="0032108D">
            <w:r>
              <w:t>1.2.1.</w:t>
            </w:r>
          </w:p>
        </w:tc>
        <w:tc>
          <w:tcPr>
            <w:tcW w:w="2581" w:type="dxa"/>
            <w:vMerge w:val="restart"/>
            <w:tcBorders>
              <w:top w:val="single" w:sz="4" w:space="0" w:color="auto"/>
              <w:left w:val="single" w:sz="4" w:space="0" w:color="auto"/>
              <w:right w:val="single" w:sz="4" w:space="0" w:color="auto"/>
            </w:tcBorders>
            <w:vAlign w:val="center"/>
          </w:tcPr>
          <w:p w:rsidR="00AC20A1" w:rsidRPr="00332C3A" w:rsidRDefault="00AC20A1" w:rsidP="0032108D">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3B78D8" w:rsidRDefault="00AC20A1" w:rsidP="0032108D">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12,86</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16,30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15,36</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13,49</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10,04</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6,60</w:t>
            </w:r>
          </w:p>
        </w:tc>
      </w:tr>
      <w:tr w:rsidR="00AC20A1" w:rsidRPr="00332C3A" w:rsidTr="0032108D">
        <w:trPr>
          <w:trHeight w:val="567"/>
          <w:jc w:val="center"/>
        </w:trPr>
        <w:tc>
          <w:tcPr>
            <w:tcW w:w="666"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3B78D8" w:rsidRDefault="00AC20A1" w:rsidP="0032108D">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AC20A1" w:rsidRPr="00C362AD" w:rsidRDefault="00AC20A1" w:rsidP="0032108D">
            <w:pPr>
              <w:jc w:val="center"/>
            </w:pPr>
            <w:r>
              <w:t>12,86</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16,30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15,36</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13,49</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10,04</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6,60</w:t>
            </w:r>
          </w:p>
        </w:tc>
      </w:tr>
      <w:tr w:rsidR="00AC20A1" w:rsidRPr="00332C3A" w:rsidTr="0032108D">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AC20A1" w:rsidRDefault="00AC20A1" w:rsidP="0032108D">
            <w:pPr>
              <w:jc w:val="center"/>
              <w:rPr>
                <w:b/>
              </w:rPr>
            </w:pPr>
          </w:p>
          <w:p w:rsidR="00AC20A1" w:rsidRDefault="00AC20A1" w:rsidP="0032108D">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AC20A1" w:rsidRDefault="00AC20A1" w:rsidP="0032108D">
            <w:pPr>
              <w:jc w:val="center"/>
            </w:pPr>
          </w:p>
        </w:tc>
      </w:tr>
      <w:tr w:rsidR="00AC20A1" w:rsidRPr="00332C3A" w:rsidTr="0032108D">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553 349,22</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91 702,80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91 245,00</w:t>
            </w:r>
          </w:p>
        </w:tc>
      </w:tr>
      <w:tr w:rsidR="00AC20A1" w:rsidRPr="00332C3A" w:rsidTr="0032108D">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99 901,92</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17 374,00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16 920,50</w:t>
            </w:r>
          </w:p>
        </w:tc>
      </w:tr>
      <w:tr w:rsidR="00AC20A1" w:rsidRPr="00332C3A" w:rsidTr="0032108D">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top w:val="single" w:sz="4" w:space="0" w:color="auto"/>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453 447,30</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74 328,80</w:t>
            </w: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r>
      <w:tr w:rsidR="00AC20A1" w:rsidRPr="00332C3A" w:rsidTr="0032108D">
        <w:trPr>
          <w:trHeight w:val="567"/>
          <w:jc w:val="center"/>
        </w:trPr>
        <w:tc>
          <w:tcPr>
            <w:tcW w:w="666" w:type="dxa"/>
            <w:vMerge w:val="restart"/>
            <w:tcBorders>
              <w:top w:val="single" w:sz="4" w:space="0" w:color="auto"/>
              <w:left w:val="single" w:sz="4" w:space="0" w:color="auto"/>
              <w:right w:val="single" w:sz="4" w:space="0" w:color="auto"/>
            </w:tcBorders>
            <w:vAlign w:val="center"/>
          </w:tcPr>
          <w:p w:rsidR="00AC20A1" w:rsidRPr="00332C3A" w:rsidRDefault="00AC20A1" w:rsidP="0032108D">
            <w:pPr>
              <w:jc w:val="center"/>
            </w:pPr>
            <w:r>
              <w:t>2.1.</w:t>
            </w:r>
          </w:p>
          <w:p w:rsidR="00AC20A1" w:rsidRPr="00332C3A" w:rsidRDefault="00AC20A1" w:rsidP="0032108D"/>
        </w:tc>
        <w:tc>
          <w:tcPr>
            <w:tcW w:w="2581" w:type="dxa"/>
            <w:vMerge w:val="restart"/>
            <w:tcBorders>
              <w:top w:val="single" w:sz="4" w:space="0" w:color="auto"/>
              <w:left w:val="single" w:sz="4" w:space="0" w:color="auto"/>
              <w:right w:val="single" w:sz="4" w:space="0" w:color="auto"/>
            </w:tcBorders>
            <w:vAlign w:val="center"/>
          </w:tcPr>
          <w:p w:rsidR="00AC20A1" w:rsidRDefault="00AC20A1" w:rsidP="0032108D">
            <w:pPr>
              <w:pStyle w:val="ConsPlusNormal"/>
              <w:widowControl/>
              <w:rPr>
                <w:sz w:val="20"/>
                <w:szCs w:val="20"/>
              </w:rPr>
            </w:pPr>
          </w:p>
          <w:p w:rsidR="00AC20A1" w:rsidRDefault="00AC20A1" w:rsidP="0032108D">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AC20A1" w:rsidRDefault="00AC20A1" w:rsidP="0032108D">
            <w:pPr>
              <w:pStyle w:val="ConsPlusNormal"/>
              <w:widowControl/>
              <w:rPr>
                <w:sz w:val="20"/>
                <w:szCs w:val="20"/>
              </w:rPr>
            </w:pPr>
          </w:p>
          <w:p w:rsidR="00AC20A1" w:rsidRPr="00332C3A" w:rsidRDefault="00AC20A1" w:rsidP="0032108D">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AC20A1" w:rsidRPr="00332C3A" w:rsidRDefault="00AC20A1" w:rsidP="0032108D">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553 349,22</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91 702,80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91 245,00</w:t>
            </w:r>
          </w:p>
        </w:tc>
      </w:tr>
      <w:tr w:rsidR="00AC20A1" w:rsidRPr="00332C3A" w:rsidTr="0032108D">
        <w:trPr>
          <w:trHeight w:val="567"/>
          <w:jc w:val="center"/>
        </w:trPr>
        <w:tc>
          <w:tcPr>
            <w:tcW w:w="666" w:type="dxa"/>
            <w:vMerge/>
            <w:tcBorders>
              <w:left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99 901,92</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17 374,00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16 920,50</w:t>
            </w:r>
          </w:p>
        </w:tc>
      </w:tr>
      <w:tr w:rsidR="00AC20A1" w:rsidRPr="00332C3A" w:rsidTr="0032108D">
        <w:trPr>
          <w:trHeight w:val="567"/>
          <w:jc w:val="center"/>
        </w:trPr>
        <w:tc>
          <w:tcPr>
            <w:tcW w:w="666"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pPr>
              <w:jc w:val="center"/>
            </w:pP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453 447,30</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74 328,80</w:t>
            </w: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r>
      <w:tr w:rsidR="00AC20A1" w:rsidRPr="00332C3A" w:rsidTr="0032108D">
        <w:trPr>
          <w:trHeight w:val="567"/>
          <w:jc w:val="center"/>
        </w:trPr>
        <w:tc>
          <w:tcPr>
            <w:tcW w:w="666" w:type="dxa"/>
            <w:tcBorders>
              <w:top w:val="single" w:sz="4" w:space="0" w:color="auto"/>
              <w:left w:val="single" w:sz="4" w:space="0" w:color="auto"/>
              <w:right w:val="single" w:sz="4" w:space="0" w:color="auto"/>
            </w:tcBorders>
            <w:vAlign w:val="center"/>
          </w:tcPr>
          <w:p w:rsidR="00AC20A1" w:rsidRPr="00332C3A" w:rsidRDefault="00AC20A1" w:rsidP="0032108D"/>
        </w:tc>
        <w:tc>
          <w:tcPr>
            <w:tcW w:w="2581" w:type="dxa"/>
            <w:vMerge w:val="restart"/>
            <w:tcBorders>
              <w:top w:val="single" w:sz="4" w:space="0" w:color="auto"/>
              <w:left w:val="single" w:sz="4" w:space="0" w:color="auto"/>
              <w:right w:val="single" w:sz="4" w:space="0" w:color="auto"/>
            </w:tcBorders>
            <w:vAlign w:val="center"/>
          </w:tcPr>
          <w:p w:rsidR="00AC20A1" w:rsidRDefault="00AC20A1" w:rsidP="0032108D">
            <w:r>
              <w:t>Выравнивание уровня бюджетной обеспеченности поселений</w:t>
            </w:r>
          </w:p>
          <w:p w:rsidR="00AC20A1" w:rsidRPr="00332C3A" w:rsidRDefault="00AC20A1" w:rsidP="0032108D"/>
        </w:tc>
        <w:tc>
          <w:tcPr>
            <w:tcW w:w="1625" w:type="dxa"/>
            <w:vMerge w:val="restart"/>
            <w:tcBorders>
              <w:top w:val="single" w:sz="4" w:space="0" w:color="auto"/>
              <w:left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AC20A1" w:rsidRDefault="00AC20A1" w:rsidP="0032108D">
            <w:pPr>
              <w:jc w:val="center"/>
            </w:pPr>
          </w:p>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458 200,62</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75 072,10</w:t>
            </w: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74 508,80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75 067,80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75 067,80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75 067,80</w:t>
            </w:r>
          </w:p>
        </w:tc>
      </w:tr>
      <w:tr w:rsidR="00AC20A1" w:rsidRPr="00332C3A" w:rsidTr="0032108D">
        <w:trPr>
          <w:trHeight w:val="567"/>
          <w:jc w:val="center"/>
        </w:trPr>
        <w:tc>
          <w:tcPr>
            <w:tcW w:w="666" w:type="dxa"/>
            <w:tcBorders>
              <w:left w:val="single" w:sz="4" w:space="0" w:color="auto"/>
              <w:right w:val="single" w:sz="4" w:space="0" w:color="auto"/>
            </w:tcBorders>
            <w:vAlign w:val="center"/>
          </w:tcPr>
          <w:p w:rsidR="00AC20A1" w:rsidRDefault="00AC20A1" w:rsidP="0032108D">
            <w:pPr>
              <w:jc w:val="center"/>
            </w:pPr>
            <w:r>
              <w:t>2.1.1.</w:t>
            </w:r>
          </w:p>
          <w:p w:rsidR="00AC20A1" w:rsidRPr="00332C3A" w:rsidRDefault="00AC20A1" w:rsidP="0032108D"/>
        </w:tc>
        <w:tc>
          <w:tcPr>
            <w:tcW w:w="2581" w:type="dxa"/>
            <w:vMerge/>
            <w:tcBorders>
              <w:left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4 753,32</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1 042,32</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743,30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737,80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743,30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743,30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743,30</w:t>
            </w:r>
          </w:p>
        </w:tc>
      </w:tr>
      <w:tr w:rsidR="00AC20A1" w:rsidRPr="00332C3A" w:rsidTr="0032108D">
        <w:trPr>
          <w:trHeight w:val="879"/>
          <w:jc w:val="center"/>
        </w:trPr>
        <w:tc>
          <w:tcPr>
            <w:tcW w:w="666" w:type="dxa"/>
            <w:tcBorders>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rsidRPr="00332C3A">
              <w:t>областной бюджет</w:t>
            </w:r>
          </w:p>
          <w:p w:rsidR="00AC20A1" w:rsidRPr="00332C3A" w:rsidRDefault="00AC20A1" w:rsidP="0032108D">
            <w:pPr>
              <w:jc w:val="center"/>
            </w:pP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453 447,30</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74 328,80</w:t>
            </w:r>
          </w:p>
        </w:tc>
        <w:tc>
          <w:tcPr>
            <w:tcW w:w="1200"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AC20A1" w:rsidRDefault="00AC20A1" w:rsidP="0032108D">
            <w:pPr>
              <w:jc w:val="center"/>
            </w:pPr>
            <w:r>
              <w:t>74 324,50</w:t>
            </w:r>
          </w:p>
        </w:tc>
      </w:tr>
      <w:tr w:rsidR="00AC20A1" w:rsidRPr="00332C3A" w:rsidTr="0032108D">
        <w:trPr>
          <w:trHeight w:val="673"/>
          <w:jc w:val="center"/>
        </w:trPr>
        <w:tc>
          <w:tcPr>
            <w:tcW w:w="666" w:type="dxa"/>
            <w:vMerge w:val="restart"/>
            <w:tcBorders>
              <w:left w:val="single" w:sz="4" w:space="0" w:color="auto"/>
              <w:right w:val="single" w:sz="4" w:space="0" w:color="auto"/>
            </w:tcBorders>
            <w:vAlign w:val="center"/>
          </w:tcPr>
          <w:p w:rsidR="00AC20A1" w:rsidRPr="00332C3A" w:rsidRDefault="00AC20A1" w:rsidP="0032108D">
            <w:r>
              <w:t>2.1.2.</w:t>
            </w:r>
          </w:p>
        </w:tc>
        <w:tc>
          <w:tcPr>
            <w:tcW w:w="2581" w:type="dxa"/>
            <w:vMerge w:val="restart"/>
            <w:tcBorders>
              <w:left w:val="single" w:sz="4" w:space="0" w:color="auto"/>
              <w:right w:val="single" w:sz="4" w:space="0" w:color="auto"/>
            </w:tcBorders>
            <w:vAlign w:val="center"/>
          </w:tcPr>
          <w:p w:rsidR="00AC20A1" w:rsidRPr="00332C3A" w:rsidRDefault="00AC20A1" w:rsidP="0032108D">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AC20A1" w:rsidRPr="00332C3A" w:rsidRDefault="00AC20A1" w:rsidP="0032108D">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16 177,20</w:t>
            </w:r>
          </w:p>
        </w:tc>
      </w:tr>
      <w:tr w:rsidR="00AC20A1" w:rsidRPr="00332C3A" w:rsidTr="0032108D">
        <w:trPr>
          <w:trHeight w:val="569"/>
          <w:jc w:val="center"/>
        </w:trPr>
        <w:tc>
          <w:tcPr>
            <w:tcW w:w="666"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2581"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25" w:type="dxa"/>
            <w:vMerge/>
            <w:tcBorders>
              <w:left w:val="single" w:sz="4" w:space="0" w:color="auto"/>
              <w:bottom w:val="single" w:sz="4" w:space="0" w:color="auto"/>
              <w:right w:val="single" w:sz="4" w:space="0" w:color="auto"/>
            </w:tcBorders>
            <w:vAlign w:val="center"/>
          </w:tcPr>
          <w:p w:rsidR="00AC20A1" w:rsidRPr="00332C3A" w:rsidRDefault="00AC20A1" w:rsidP="0032108D"/>
        </w:tc>
        <w:tc>
          <w:tcPr>
            <w:tcW w:w="165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AC20A1" w:rsidRPr="00332C3A" w:rsidRDefault="00AC20A1" w:rsidP="0032108D">
            <w:pPr>
              <w:jc w:val="center"/>
            </w:pPr>
            <w:r>
              <w:t>16 177,20</w:t>
            </w:r>
          </w:p>
        </w:tc>
      </w:tr>
    </w:tbl>
    <w:p w:rsidR="00AC20A1" w:rsidRPr="00D83D42" w:rsidRDefault="00AC20A1" w:rsidP="00AC20A1">
      <w:pPr>
        <w:ind w:firstLine="708"/>
      </w:pPr>
    </w:p>
    <w:p w:rsidR="00AC20A1" w:rsidRPr="00D83D42" w:rsidRDefault="00AC20A1" w:rsidP="00AC20A1">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Ind w:w="733" w:type="dxa"/>
        <w:tblLook w:val="00A0"/>
      </w:tblPr>
      <w:tblGrid>
        <w:gridCol w:w="561"/>
        <w:gridCol w:w="2230"/>
        <w:gridCol w:w="1076"/>
        <w:gridCol w:w="1099"/>
        <w:gridCol w:w="916"/>
        <w:gridCol w:w="110"/>
        <w:gridCol w:w="906"/>
        <w:gridCol w:w="1016"/>
        <w:gridCol w:w="1016"/>
        <w:gridCol w:w="1016"/>
        <w:gridCol w:w="10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3663D2" w:rsidP="008449A3">
            <w:pPr>
              <w:jc w:val="center"/>
            </w:pPr>
            <w:r>
              <w:t>75 07,10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74 508,80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 xml:space="preserve">Предоставление иных МБТ бюджетам </w:t>
            </w:r>
            <w:r>
              <w:rPr>
                <w:sz w:val="23"/>
                <w:szCs w:val="23"/>
              </w:rPr>
              <w:lastRenderedPageBreak/>
              <w:t>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lastRenderedPageBreak/>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15 825,40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D2" w:rsidRDefault="003663D2" w:rsidP="00BC7E5D">
      <w:r>
        <w:separator/>
      </w:r>
    </w:p>
  </w:endnote>
  <w:endnote w:type="continuationSeparator" w:id="1">
    <w:p w:rsidR="003663D2" w:rsidRDefault="003663D2"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D2" w:rsidRDefault="003663D2" w:rsidP="00BC7E5D">
      <w:r>
        <w:separator/>
      </w:r>
    </w:p>
  </w:footnote>
  <w:footnote w:type="continuationSeparator" w:id="1">
    <w:p w:rsidR="003663D2" w:rsidRDefault="003663D2"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3663D2" w:rsidRDefault="003679CB">
        <w:pPr>
          <w:pStyle w:val="a8"/>
          <w:jc w:val="center"/>
        </w:pPr>
        <w:fldSimple w:instr=" PAGE   \* MERGEFORMAT ">
          <w:r w:rsidR="008933B1">
            <w:rPr>
              <w:noProof/>
            </w:rPr>
            <w:t>17</w:t>
          </w:r>
        </w:fldSimple>
      </w:p>
    </w:sdtContent>
  </w:sdt>
  <w:p w:rsidR="003663D2" w:rsidRDefault="003663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3663D2" w:rsidRDefault="003679CB">
        <w:pPr>
          <w:pStyle w:val="a8"/>
          <w:jc w:val="center"/>
        </w:pPr>
        <w:fldSimple w:instr=" PAGE   \* MERGEFORMAT ">
          <w:r w:rsidR="008933B1">
            <w:rPr>
              <w:noProof/>
            </w:rPr>
            <w:t>20</w:t>
          </w:r>
        </w:fldSimple>
      </w:p>
    </w:sdtContent>
  </w:sdt>
  <w:p w:rsidR="003663D2" w:rsidRDefault="003663D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3663D2" w:rsidRDefault="003679CB">
        <w:pPr>
          <w:pStyle w:val="a8"/>
          <w:jc w:val="center"/>
        </w:pPr>
        <w:fldSimple w:instr=" PAGE   \* MERGEFORMAT ">
          <w:r w:rsidR="008933B1">
            <w:rPr>
              <w:noProof/>
            </w:rPr>
            <w:t>23</w:t>
          </w:r>
        </w:fldSimple>
      </w:p>
    </w:sdtContent>
  </w:sdt>
  <w:p w:rsidR="003663D2" w:rsidRDefault="003663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23F3"/>
    <w:rsid w:val="0007616D"/>
    <w:rsid w:val="000764BE"/>
    <w:rsid w:val="0007670F"/>
    <w:rsid w:val="00082647"/>
    <w:rsid w:val="000943EB"/>
    <w:rsid w:val="000A5DEE"/>
    <w:rsid w:val="000B20A1"/>
    <w:rsid w:val="000B2D96"/>
    <w:rsid w:val="000B7F1A"/>
    <w:rsid w:val="000D24A1"/>
    <w:rsid w:val="000D3528"/>
    <w:rsid w:val="000D478B"/>
    <w:rsid w:val="000F1602"/>
    <w:rsid w:val="000F5CCB"/>
    <w:rsid w:val="000F638C"/>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663D2"/>
    <w:rsid w:val="003679CB"/>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7595D"/>
    <w:rsid w:val="00586EA2"/>
    <w:rsid w:val="00593609"/>
    <w:rsid w:val="005B7EA3"/>
    <w:rsid w:val="005C3677"/>
    <w:rsid w:val="005D54D2"/>
    <w:rsid w:val="005E3EAC"/>
    <w:rsid w:val="005F1716"/>
    <w:rsid w:val="005F43F5"/>
    <w:rsid w:val="005F453A"/>
    <w:rsid w:val="005F7AC7"/>
    <w:rsid w:val="005F7C75"/>
    <w:rsid w:val="00600592"/>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0D5E"/>
    <w:rsid w:val="0083201F"/>
    <w:rsid w:val="008449A3"/>
    <w:rsid w:val="008461BF"/>
    <w:rsid w:val="00872648"/>
    <w:rsid w:val="00876B47"/>
    <w:rsid w:val="00877F79"/>
    <w:rsid w:val="00880647"/>
    <w:rsid w:val="00881278"/>
    <w:rsid w:val="00884883"/>
    <w:rsid w:val="00885EC5"/>
    <w:rsid w:val="008933B1"/>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812D4"/>
    <w:rsid w:val="00D83025"/>
    <w:rsid w:val="00D937A6"/>
    <w:rsid w:val="00DA0E5B"/>
    <w:rsid w:val="00DB332C"/>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6361</Words>
  <Characters>36263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16</cp:revision>
  <cp:lastPrinted>2018-03-05T02:03:00Z</cp:lastPrinted>
  <dcterms:created xsi:type="dcterms:W3CDTF">2018-03-05T01:54:00Z</dcterms:created>
  <dcterms:modified xsi:type="dcterms:W3CDTF">2019-03-18T02:44:00Z</dcterms:modified>
</cp:coreProperties>
</file>