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A6" w:rsidRPr="006261F9" w:rsidRDefault="005A3DA6" w:rsidP="005A3DA6">
      <w:pPr>
        <w:ind w:left="4536"/>
        <w:jc w:val="right"/>
      </w:pPr>
      <w:r w:rsidRPr="006261F9">
        <w:t>Утверждена</w:t>
      </w:r>
    </w:p>
    <w:p w:rsidR="005A3DA6" w:rsidRPr="006261F9" w:rsidRDefault="005A3DA6" w:rsidP="005A3DA6">
      <w:pPr>
        <w:ind w:left="4253"/>
        <w:jc w:val="right"/>
      </w:pPr>
      <w:r w:rsidRPr="006261F9">
        <w:t>Постановлением администрац</w:t>
      </w:r>
      <w:r w:rsidRPr="00516569">
        <w:t xml:space="preserve">ии Киренского муниципального </w:t>
      </w:r>
      <w:r>
        <w:t>района</w:t>
      </w:r>
      <w:r w:rsidRPr="00516569">
        <w:t xml:space="preserve"> от 13.10.2025 г. № 588</w:t>
      </w: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jc w:val="center"/>
      </w:pPr>
      <w:r w:rsidRPr="006261F9">
        <w:t xml:space="preserve">Муниципальная программа «Строительство, реконструкция, капитальный и текущий ремонты объектов муниципальной собственности </w:t>
      </w:r>
      <w:r>
        <w:t>Киренского муниципального округа</w:t>
      </w:r>
      <w:r w:rsidRPr="006261F9">
        <w:t xml:space="preserve"> на 202</w:t>
      </w:r>
      <w:r>
        <w:t>6</w:t>
      </w:r>
      <w:r w:rsidRPr="006261F9">
        <w:t>-203</w:t>
      </w:r>
      <w:r>
        <w:t>6</w:t>
      </w:r>
      <w:r w:rsidRPr="006261F9">
        <w:t xml:space="preserve"> гг.»</w:t>
      </w: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  <w:r w:rsidRPr="006261F9">
        <w:t>Киренск, 20</w:t>
      </w:r>
      <w:r>
        <w:t>25</w:t>
      </w:r>
      <w:r w:rsidRPr="006261F9">
        <w:t xml:space="preserve"> год</w:t>
      </w:r>
    </w:p>
    <w:p w:rsidR="005A3DA6" w:rsidRPr="006261F9" w:rsidRDefault="005A3DA6" w:rsidP="005A3DA6">
      <w:pPr>
        <w:jc w:val="center"/>
        <w:rPr>
          <w:b/>
        </w:rPr>
      </w:pPr>
    </w:p>
    <w:p w:rsidR="005A3DA6" w:rsidRPr="006261F9" w:rsidRDefault="005A3DA6" w:rsidP="005A3DA6">
      <w:pPr>
        <w:jc w:val="center"/>
        <w:rPr>
          <w:b/>
        </w:rPr>
      </w:pPr>
      <w:r w:rsidRPr="006261F9">
        <w:rPr>
          <w:b/>
        </w:rPr>
        <w:t>ПАСПОРТ</w:t>
      </w:r>
    </w:p>
    <w:p w:rsidR="005A3DA6" w:rsidRPr="006261F9" w:rsidRDefault="005A3DA6" w:rsidP="005A3DA6">
      <w:pPr>
        <w:jc w:val="center"/>
        <w:rPr>
          <w:b/>
        </w:rPr>
      </w:pPr>
      <w:r w:rsidRPr="006261F9">
        <w:rPr>
          <w:b/>
        </w:rPr>
        <w:t>МУНИЦИПАЛЬНОЙ ПРОГРАММЫ КИРЕНСКОГО РАЙОНА</w:t>
      </w:r>
      <w:r>
        <w:rPr>
          <w:b/>
        </w:rPr>
        <w:t xml:space="preserve"> «СТРОИТЕЛЬСТВО, РЕКОНСТРУКЦИЯ, КАПИТАЛЬНЫЙ И ТЕКУЩИЙ РЕМОНТЫ ОБЪЕКТОВ МУНИЦИПАЛЬНОЙ СОБСТВЕННОСТИ КИРЕНСКОГО МУНИЦИПАЛЬНОГО ОКРУГА НА 2026 – 2036 гг.</w:t>
      </w:r>
    </w:p>
    <w:p w:rsidR="005A3DA6" w:rsidRPr="006261F9" w:rsidRDefault="005A3DA6" w:rsidP="005A3DA6">
      <w:pPr>
        <w:jc w:val="center"/>
      </w:pPr>
      <w:r w:rsidRPr="006261F9">
        <w:t>(далее – муниципальная программа)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095"/>
      </w:tblGrid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 xml:space="preserve">Строительство, реконструкция, капитальный и текущий ремонты объектов муниципальной собственности </w:t>
            </w:r>
            <w:r>
              <w:t>Киренского муниципального округа</w:t>
            </w:r>
            <w:r w:rsidRPr="006261F9">
              <w:t xml:space="preserve"> на 202</w:t>
            </w:r>
            <w:r>
              <w:t>6</w:t>
            </w:r>
            <w:r w:rsidRPr="006261F9">
              <w:t>-203</w:t>
            </w:r>
            <w:r>
              <w:t>6</w:t>
            </w:r>
            <w:r w:rsidRPr="006261F9">
              <w:t xml:space="preserve"> гг.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Администрация Киренского муниципального округа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отсутствуют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Учреждения образования, культуры, спорта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Обеспечение градостроительного потенциала Киренского муниципального округа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 xml:space="preserve">1.Приведение объектов муниципальной собственности </w:t>
            </w:r>
            <w:r>
              <w:t>Киренского муниципального округа</w:t>
            </w:r>
            <w:r w:rsidRPr="006261F9">
              <w:t xml:space="preserve"> в нормативно-техническое состояние, отвечающее требованиям пожарной и санитарно-технической безопасности;</w:t>
            </w:r>
          </w:p>
          <w:p w:rsidR="005A3DA6" w:rsidRPr="006261F9" w:rsidRDefault="005A3DA6" w:rsidP="00BA4949">
            <w:r w:rsidRPr="006261F9">
              <w:t xml:space="preserve">2. Создание объектов муниципальной собственности </w:t>
            </w:r>
            <w:r>
              <w:t>Киренского муниципального округа</w:t>
            </w:r>
            <w:r w:rsidRPr="006261F9">
              <w:t>.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>202</w:t>
            </w:r>
            <w:r>
              <w:t>6</w:t>
            </w:r>
            <w:r w:rsidRPr="006261F9">
              <w:t xml:space="preserve"> – 203</w:t>
            </w:r>
            <w:r>
              <w:t>6</w:t>
            </w:r>
            <w:r w:rsidRPr="006261F9">
              <w:t xml:space="preserve"> гг.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>1. Доля объектов муниципального фонда, в которых проведена реконструкция, капитальный и текущий ремонт, от запланированного количества (%);</w:t>
            </w:r>
          </w:p>
          <w:p w:rsidR="005A3DA6" w:rsidRPr="006261F9" w:rsidRDefault="005A3DA6" w:rsidP="00BA4949">
            <w:r w:rsidRPr="006261F9">
              <w:t>2. Доля построенных объектов муниципального фонда от запланированного количества</w:t>
            </w:r>
            <w:proofErr w:type="gramStart"/>
            <w:r w:rsidRPr="006261F9">
              <w:t xml:space="preserve"> (%);</w:t>
            </w:r>
            <w:proofErr w:type="gramEnd"/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C71FDD" w:rsidRDefault="005A3DA6" w:rsidP="00BA4949">
            <w:r w:rsidRPr="00C71FDD"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C71FDD" w:rsidRDefault="005A3DA6" w:rsidP="00BA4949">
            <w:r w:rsidRPr="00C71FDD">
              <w:t>Отсутствуют</w:t>
            </w:r>
          </w:p>
        </w:tc>
      </w:tr>
      <w:tr w:rsidR="005A3DA6" w:rsidRPr="009E0A2D" w:rsidTr="00BA4949">
        <w:tc>
          <w:tcPr>
            <w:tcW w:w="3085" w:type="dxa"/>
            <w:vAlign w:val="center"/>
          </w:tcPr>
          <w:p w:rsidR="005A3DA6" w:rsidRPr="00C71FDD" w:rsidRDefault="005A3DA6" w:rsidP="00BA4949">
            <w:r w:rsidRPr="00C71FDD"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C71FDD" w:rsidRDefault="005A3DA6" w:rsidP="00BA4949">
            <w:r w:rsidRPr="00C71FDD">
              <w:t>- разработка проектно-сметной документации;</w:t>
            </w:r>
          </w:p>
          <w:p w:rsidR="005A3DA6" w:rsidRPr="00C71FDD" w:rsidRDefault="005A3DA6" w:rsidP="00BA4949">
            <w:r w:rsidRPr="00C71FDD">
              <w:t>- проверка достоверности определения сметной стоимости;</w:t>
            </w:r>
          </w:p>
          <w:p w:rsidR="005A3DA6" w:rsidRPr="00C71FDD" w:rsidRDefault="005A3DA6" w:rsidP="00BA4949">
            <w:r w:rsidRPr="00C71FDD">
              <w:t>- строительство, реконструкция, капитальный и текущий ремонты объектов.</w:t>
            </w:r>
          </w:p>
        </w:tc>
      </w:tr>
      <w:tr w:rsidR="005A3DA6" w:rsidRPr="009E0A2D" w:rsidTr="00BA4949">
        <w:tc>
          <w:tcPr>
            <w:tcW w:w="3085" w:type="dxa"/>
            <w:vAlign w:val="center"/>
          </w:tcPr>
          <w:p w:rsidR="005A3DA6" w:rsidRPr="00CD4E5C" w:rsidRDefault="005A3DA6" w:rsidP="00BA4949">
            <w:r w:rsidRPr="00CD4E5C"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CD4E5C" w:rsidRDefault="005A3DA6" w:rsidP="00BA4949">
            <w:r w:rsidRPr="00CD4E5C">
              <w:t xml:space="preserve">Всего: </w:t>
            </w:r>
            <w:r>
              <w:t>819 565</w:t>
            </w:r>
            <w:r w:rsidRPr="00CD4E5C">
              <w:t>,0 тыс. руб.,</w:t>
            </w:r>
          </w:p>
          <w:p w:rsidR="005A3DA6" w:rsidRPr="00CD4E5C" w:rsidRDefault="005A3DA6" w:rsidP="00BA4949">
            <w:r w:rsidRPr="00CD4E5C">
              <w:t>В том числе:</w:t>
            </w:r>
          </w:p>
          <w:p w:rsidR="005A3DA6" w:rsidRPr="00CD4E5C" w:rsidRDefault="005A3DA6" w:rsidP="00BA4949">
            <w:r w:rsidRPr="00CD4E5C">
              <w:t xml:space="preserve">местный бюджет: </w:t>
            </w:r>
            <w:r>
              <w:t>819 565</w:t>
            </w:r>
            <w:r w:rsidRPr="00CD4E5C">
              <w:t>,0 тыс. руб.,</w:t>
            </w:r>
          </w:p>
          <w:p w:rsidR="005A3DA6" w:rsidRPr="00CD4E5C" w:rsidRDefault="005A3DA6" w:rsidP="00BA4949">
            <w:r w:rsidRPr="00CD4E5C">
              <w:t>в том числе:</w:t>
            </w:r>
          </w:p>
          <w:p w:rsidR="005A3DA6" w:rsidRPr="001B5E02" w:rsidRDefault="005A3DA6" w:rsidP="00BA4949">
            <w:r w:rsidRPr="00CD4E5C">
              <w:t xml:space="preserve">- 2026 год: </w:t>
            </w:r>
            <w:r>
              <w:t xml:space="preserve">61 </w:t>
            </w:r>
            <w:r w:rsidRPr="001B5E02">
              <w:t>500,0 тыс. руб.,</w:t>
            </w:r>
          </w:p>
          <w:p w:rsidR="005A3DA6" w:rsidRPr="001B5E02" w:rsidRDefault="005A3DA6" w:rsidP="00BA4949">
            <w:r w:rsidRPr="001B5E02">
              <w:t>- 2027 год: 67 650,0  тыс. руб.,</w:t>
            </w:r>
          </w:p>
          <w:p w:rsidR="005A3DA6" w:rsidRPr="001B5E02" w:rsidRDefault="005A3DA6" w:rsidP="00BA4949">
            <w:r w:rsidRPr="001B5E02">
              <w:t>- 2028 год: 74 415,0  тыс. руб.,</w:t>
            </w:r>
          </w:p>
          <w:p w:rsidR="005A3DA6" w:rsidRPr="001B5E02" w:rsidRDefault="005A3DA6" w:rsidP="00BA4949">
            <w:r w:rsidRPr="001B5E02">
              <w:t>- 2029 год: 77 000,0  тыс. руб.,</w:t>
            </w:r>
          </w:p>
          <w:p w:rsidR="005A3DA6" w:rsidRPr="001B5E02" w:rsidRDefault="005A3DA6" w:rsidP="00BA4949">
            <w:r w:rsidRPr="001B5E02">
              <w:t>- 2030 год: 77 000,0  тыс. руб.,</w:t>
            </w:r>
          </w:p>
          <w:p w:rsidR="005A3DA6" w:rsidRPr="00CD4E5C" w:rsidRDefault="005A3DA6" w:rsidP="00BA4949">
            <w:r w:rsidRPr="001B5E02">
              <w:t>- 2031 год: 77 000,0 тыс. руб</w:t>
            </w:r>
            <w:r w:rsidRPr="00CD4E5C">
              <w:t>.,</w:t>
            </w:r>
          </w:p>
          <w:p w:rsidR="005A3DA6" w:rsidRPr="00CD4E5C" w:rsidRDefault="005A3DA6" w:rsidP="00BA4949">
            <w:r w:rsidRPr="00CD4E5C">
              <w:t xml:space="preserve">- 2032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 xml:space="preserve">- 2033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 xml:space="preserve">- 2034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 xml:space="preserve">- 2035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lastRenderedPageBreak/>
              <w:t xml:space="preserve">- 2036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>Областной бюджет: 0,0 тыс. руб.,</w:t>
            </w:r>
          </w:p>
          <w:p w:rsidR="005A3DA6" w:rsidRPr="00CD4E5C" w:rsidRDefault="005A3DA6" w:rsidP="00BA4949">
            <w:r w:rsidRPr="00CD4E5C">
              <w:t>в том числе:</w:t>
            </w:r>
          </w:p>
          <w:p w:rsidR="005A3DA6" w:rsidRPr="00CD4E5C" w:rsidRDefault="005A3DA6" w:rsidP="00BA4949">
            <w:r w:rsidRPr="00CD4E5C">
              <w:t>- 2026 год: 0,0 тыс. руб.,</w:t>
            </w:r>
          </w:p>
          <w:p w:rsidR="005A3DA6" w:rsidRPr="00CD4E5C" w:rsidRDefault="005A3DA6" w:rsidP="00BA4949">
            <w:r w:rsidRPr="00CD4E5C">
              <w:t>- 2027 год: 0,0 тыс. руб.,</w:t>
            </w:r>
          </w:p>
          <w:p w:rsidR="005A3DA6" w:rsidRPr="00CD4E5C" w:rsidRDefault="005A3DA6" w:rsidP="00BA4949">
            <w:r w:rsidRPr="00CD4E5C">
              <w:t>- 2028 год: 0,0тыс. руб.,</w:t>
            </w:r>
          </w:p>
          <w:p w:rsidR="005A3DA6" w:rsidRPr="00CD4E5C" w:rsidRDefault="005A3DA6" w:rsidP="00BA4949">
            <w:r w:rsidRPr="00CD4E5C">
              <w:t>- 2029 год: 0,0 тыс. руб.,</w:t>
            </w:r>
          </w:p>
          <w:p w:rsidR="005A3DA6" w:rsidRPr="00CD4E5C" w:rsidRDefault="005A3DA6" w:rsidP="00BA4949">
            <w:r w:rsidRPr="00CD4E5C">
              <w:t>- 2030 год: 0,0 тыс. руб.,</w:t>
            </w:r>
          </w:p>
          <w:p w:rsidR="005A3DA6" w:rsidRPr="00CD4E5C" w:rsidRDefault="005A3DA6" w:rsidP="00BA4949">
            <w:r w:rsidRPr="00CD4E5C">
              <w:t>- 2031 год: 0,0 тыс. руб.,</w:t>
            </w:r>
          </w:p>
          <w:p w:rsidR="005A3DA6" w:rsidRPr="00CD4E5C" w:rsidRDefault="005A3DA6" w:rsidP="00BA4949">
            <w:r w:rsidRPr="00CD4E5C">
              <w:t>- 2032 год: 0,0 тыс. руб.,</w:t>
            </w:r>
          </w:p>
          <w:p w:rsidR="005A3DA6" w:rsidRPr="00CD4E5C" w:rsidRDefault="005A3DA6" w:rsidP="00BA4949">
            <w:r w:rsidRPr="00CD4E5C">
              <w:t>- 2033 год: 0,0 тыс. руб.,</w:t>
            </w:r>
          </w:p>
          <w:p w:rsidR="005A3DA6" w:rsidRPr="00CD4E5C" w:rsidRDefault="005A3DA6" w:rsidP="00BA4949">
            <w:r w:rsidRPr="00CD4E5C">
              <w:t>- 2034 год: 0,0 тыс. руб.,</w:t>
            </w:r>
          </w:p>
          <w:p w:rsidR="005A3DA6" w:rsidRPr="00CD4E5C" w:rsidRDefault="005A3DA6" w:rsidP="00BA4949">
            <w:r w:rsidRPr="00CD4E5C">
              <w:t>- 2035 год: 0,0 тыс. руб.,</w:t>
            </w:r>
          </w:p>
          <w:p w:rsidR="005A3DA6" w:rsidRPr="00CD4E5C" w:rsidRDefault="005A3DA6" w:rsidP="00BA4949">
            <w:r w:rsidRPr="00CD4E5C">
              <w:t>- 2036 год: 0,0 тыс. руб.</w:t>
            </w:r>
          </w:p>
        </w:tc>
      </w:tr>
      <w:tr w:rsidR="005A3DA6" w:rsidRPr="009E0A2D" w:rsidTr="00BA4949">
        <w:tc>
          <w:tcPr>
            <w:tcW w:w="3085" w:type="dxa"/>
            <w:vAlign w:val="center"/>
          </w:tcPr>
          <w:p w:rsidR="005A3DA6" w:rsidRPr="002A24C0" w:rsidRDefault="005A3DA6" w:rsidP="00BA4949">
            <w:r w:rsidRPr="002A24C0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Default="005A3DA6" w:rsidP="00BA4949">
            <w:r>
              <w:t>1. Обеспечение</w:t>
            </w:r>
            <w:r w:rsidRPr="002A24C0">
              <w:t xml:space="preserve"> эффективности, качества обслуживания населения, увеличение социальных объектов, отвечающих современным требованиям,  исключение аварийных ситуаций и несчастных случаев</w:t>
            </w:r>
            <w:r>
              <w:t>.</w:t>
            </w:r>
          </w:p>
          <w:p w:rsidR="005A3DA6" w:rsidRPr="006261F9" w:rsidRDefault="005A3DA6" w:rsidP="00BA4949">
            <w:r>
              <w:t>2</w:t>
            </w:r>
            <w:r w:rsidRPr="006261F9">
              <w:t xml:space="preserve">. </w:t>
            </w:r>
            <w:r>
              <w:t>Обеспечение на уровне 100</w:t>
            </w:r>
            <w:r w:rsidRPr="006261F9">
              <w:t>%</w:t>
            </w:r>
            <w:r>
              <w:t xml:space="preserve"> доли</w:t>
            </w:r>
            <w:r w:rsidRPr="006261F9">
              <w:t xml:space="preserve"> объектов муниципального фонда, в которых проведена реконструкция, капитальный и текущий ремонт, от запланированного количества;</w:t>
            </w:r>
          </w:p>
          <w:p w:rsidR="005A3DA6" w:rsidRPr="002A24C0" w:rsidRDefault="005A3DA6" w:rsidP="00BA4949">
            <w:r>
              <w:t>3</w:t>
            </w:r>
            <w:r w:rsidRPr="006261F9">
              <w:t xml:space="preserve">. </w:t>
            </w:r>
            <w:r>
              <w:t>Обеспечение на уровне 100</w:t>
            </w:r>
            <w:r w:rsidRPr="006261F9">
              <w:t>%</w:t>
            </w:r>
            <w:r>
              <w:t xml:space="preserve"> д</w:t>
            </w:r>
            <w:r w:rsidRPr="006261F9">
              <w:t>ол</w:t>
            </w:r>
            <w:r>
              <w:t>и</w:t>
            </w:r>
            <w:r w:rsidRPr="006261F9">
              <w:t xml:space="preserve"> построенных объектов муниципального фонда от запланированного количества</w:t>
            </w:r>
            <w:r>
              <w:t>.</w:t>
            </w:r>
          </w:p>
        </w:tc>
      </w:tr>
    </w:tbl>
    <w:p w:rsidR="005A3DA6" w:rsidRPr="009E0A2D" w:rsidRDefault="005A3DA6" w:rsidP="005A3DA6">
      <w:pPr>
        <w:jc w:val="center"/>
        <w:rPr>
          <w:highlight w:val="green"/>
        </w:rPr>
      </w:pPr>
    </w:p>
    <w:p w:rsidR="005A3DA6" w:rsidRPr="001517A8" w:rsidRDefault="005A3DA6" w:rsidP="005A3DA6">
      <w:pPr>
        <w:jc w:val="center"/>
      </w:pPr>
    </w:p>
    <w:p w:rsidR="005A3DA6" w:rsidRPr="001517A8" w:rsidRDefault="005A3DA6" w:rsidP="005A3DA6">
      <w:pPr>
        <w:jc w:val="center"/>
      </w:pPr>
      <w:r w:rsidRPr="001517A8">
        <w:t>РАЗДЕЛ 1. ХАРАКТЕРИСТИКА ТЕКУЩЕГО СОСТОЯНИЯ СФЕРЫ РЕАЛИЗАЦИИ МУНИЦИПАЛЬНОЙ ПРОГРАММЫ</w:t>
      </w:r>
    </w:p>
    <w:p w:rsidR="005A3DA6" w:rsidRPr="001517A8" w:rsidRDefault="005A3DA6" w:rsidP="005A3DA6">
      <w:pPr>
        <w:spacing w:line="360" w:lineRule="auto"/>
        <w:jc w:val="center"/>
      </w:pPr>
    </w:p>
    <w:p w:rsidR="005A3DA6" w:rsidRPr="001517A8" w:rsidRDefault="005A3DA6" w:rsidP="005A3DA6">
      <w:pPr>
        <w:spacing w:line="360" w:lineRule="auto"/>
        <w:jc w:val="both"/>
      </w:pPr>
      <w:r w:rsidRPr="001517A8">
        <w:tab/>
        <w:t>Большинство объектов капитального строительства муниципальной собственности Киренского муниципального округа построены более 30 - 40 лет назад. Соответственно, износ таких объектов составляет более 40 %. В целях улучшения технического состояния объектов, в зависимости от степени износа, принимаются решения о строительстве, реконструкции, капитальном или текущем ремонтах данных объектов.</w:t>
      </w:r>
    </w:p>
    <w:p w:rsidR="005A3DA6" w:rsidRPr="001B5E02" w:rsidRDefault="005A3DA6" w:rsidP="005A3DA6">
      <w:pPr>
        <w:spacing w:line="360" w:lineRule="auto"/>
        <w:jc w:val="both"/>
      </w:pPr>
      <w:r w:rsidRPr="001517A8">
        <w:tab/>
        <w:t xml:space="preserve">Для выполнения работ </w:t>
      </w:r>
      <w:r w:rsidRPr="001B5E02">
        <w:t xml:space="preserve">по строительству, реконструкции, капитальному или текущему ремонтам с привлечением федеральных или областных средств необходимо за счёт средств местного бюджета разработать проектно-сметную документацию с получением положительного заключения экспертизы. Также для получения средств необходимо наличие собственных средств на </w:t>
      </w:r>
      <w:proofErr w:type="spellStart"/>
      <w:r w:rsidRPr="001B5E02">
        <w:t>софинансирование</w:t>
      </w:r>
      <w:proofErr w:type="spellEnd"/>
      <w:r w:rsidRPr="001B5E02">
        <w:t xml:space="preserve"> мероприятия. Данные мероприятия предусмотрены в муниципальной программе.</w:t>
      </w:r>
    </w:p>
    <w:p w:rsidR="005A3DA6" w:rsidRPr="001B5E02" w:rsidRDefault="005A3DA6" w:rsidP="005A3DA6">
      <w:pPr>
        <w:spacing w:line="360" w:lineRule="auto"/>
        <w:jc w:val="both"/>
      </w:pPr>
      <w:r w:rsidRPr="001B5E02">
        <w:tab/>
        <w:t>За период 2016 - 2025 годы с привлечением средств областного бюджета было отремонтировано более 20 объектов. Выделение областных средств на капитальный ремонт данных объектов было обусловлено наличием положительного заключения экспертизы проектно-сметной документации капитального ремонта.</w:t>
      </w:r>
    </w:p>
    <w:p w:rsidR="005A3DA6" w:rsidRPr="001B5E02" w:rsidRDefault="005A3DA6" w:rsidP="005A3DA6">
      <w:pPr>
        <w:spacing w:line="360" w:lineRule="auto"/>
        <w:jc w:val="both"/>
      </w:pPr>
      <w:r w:rsidRPr="001B5E02">
        <w:lastRenderedPageBreak/>
        <w:tab/>
        <w:t>Развитие Киренского муниципального округа напрямую зависит от технического состояния объектов социальной сферы.</w:t>
      </w:r>
    </w:p>
    <w:p w:rsidR="005A3DA6" w:rsidRPr="00B61E02" w:rsidRDefault="005A3DA6" w:rsidP="005A3DA6">
      <w:pPr>
        <w:spacing w:line="360" w:lineRule="auto"/>
        <w:jc w:val="both"/>
      </w:pPr>
      <w:r w:rsidRPr="001B5E02">
        <w:tab/>
        <w:t>В экономической области эффективность от реализации</w:t>
      </w:r>
      <w:r w:rsidRPr="00B61E02">
        <w:t xml:space="preserve"> мероприятий Программы состоит в уменьшении затрат бюджета на коммунальные платежи, в связи с увеличением </w:t>
      </w:r>
      <w:proofErr w:type="spellStart"/>
      <w:r w:rsidRPr="00B61E02">
        <w:t>энергоэффективности</w:t>
      </w:r>
      <w:proofErr w:type="spellEnd"/>
      <w:r w:rsidRPr="00B61E02">
        <w:t xml:space="preserve"> объектов путём применения энергосберегающих технологий и уменьшении </w:t>
      </w:r>
      <w:proofErr w:type="spellStart"/>
      <w:r w:rsidRPr="00B61E02">
        <w:t>теплопотерь</w:t>
      </w:r>
      <w:proofErr w:type="spellEnd"/>
      <w:r w:rsidRPr="00B61E02">
        <w:t xml:space="preserve"> зданий.</w:t>
      </w:r>
    </w:p>
    <w:p w:rsidR="005A3DA6" w:rsidRPr="00C55A03" w:rsidRDefault="005A3DA6" w:rsidP="005A3DA6">
      <w:pPr>
        <w:spacing w:line="360" w:lineRule="auto"/>
        <w:jc w:val="both"/>
      </w:pPr>
      <w:r w:rsidRPr="00B61E02">
        <w:tab/>
        <w:t xml:space="preserve">Принятие программы обеспечит </w:t>
      </w:r>
      <w:r w:rsidRPr="00C55A03">
        <w:t>эффективное решение приоритетных социальных, экономических и других задач развития Киренского муниципального округа в пределах установленных полномочий органов местного самоуправления.</w:t>
      </w:r>
    </w:p>
    <w:p w:rsidR="005A3DA6" w:rsidRPr="00C55A03" w:rsidRDefault="005A3DA6" w:rsidP="005A3DA6">
      <w:pPr>
        <w:jc w:val="center"/>
      </w:pPr>
    </w:p>
    <w:p w:rsidR="005A3DA6" w:rsidRPr="00C55A03" w:rsidRDefault="005A3DA6" w:rsidP="005A3DA6">
      <w:pPr>
        <w:jc w:val="center"/>
      </w:pPr>
      <w:r w:rsidRPr="00C55A03">
        <w:t>РАЗДЕЛ 2. ЦЕЛЬ И ЗАДАЧИ МУНИЦИПАЛЬНОЙ ПРОГРАММЫ, ЦЕЛЕВЫЕ ПОКАЗАТЕЛИ МУНИЦИПАЛЬНОЙ ПРОГРАММЫ, СРОКИ РЕАЛИЗАЦИИ</w:t>
      </w:r>
    </w:p>
    <w:p w:rsidR="005A3DA6" w:rsidRPr="00C55A03" w:rsidRDefault="005A3DA6" w:rsidP="005A3DA6">
      <w:pPr>
        <w:spacing w:line="360" w:lineRule="auto"/>
        <w:jc w:val="center"/>
      </w:pPr>
    </w:p>
    <w:p w:rsidR="005A3DA6" w:rsidRPr="00A54DF5" w:rsidRDefault="005A3DA6" w:rsidP="005A3DA6">
      <w:pPr>
        <w:spacing w:line="360" w:lineRule="auto"/>
        <w:jc w:val="both"/>
      </w:pPr>
      <w:r w:rsidRPr="00C55A03">
        <w:tab/>
        <w:t xml:space="preserve">Цель программы: </w:t>
      </w:r>
      <w:r>
        <w:t>Обеспечение градостроительного потенциала Киренского муниципального округа</w:t>
      </w:r>
      <w:r w:rsidRPr="00A54DF5">
        <w:t>.</w:t>
      </w:r>
    </w:p>
    <w:p w:rsidR="005A3DA6" w:rsidRPr="00A54DF5" w:rsidRDefault="005A3DA6" w:rsidP="005A3DA6">
      <w:pPr>
        <w:spacing w:line="360" w:lineRule="auto"/>
        <w:jc w:val="both"/>
      </w:pPr>
      <w:r w:rsidRPr="00A54DF5">
        <w:tab/>
        <w:t>Задача программы:</w:t>
      </w:r>
    </w:p>
    <w:p w:rsidR="005A3DA6" w:rsidRPr="00A54DF5" w:rsidRDefault="005A3DA6" w:rsidP="005A3DA6">
      <w:pPr>
        <w:spacing w:line="360" w:lineRule="auto"/>
        <w:jc w:val="both"/>
      </w:pPr>
      <w:r w:rsidRPr="00A54DF5">
        <w:tab/>
        <w:t>1. Приведение объектов муниципальной собственности Киренского муниципального округа в нормативно-техническое состояние, отвечающее требованиям пожарной и санитарно-технической безопасности;</w:t>
      </w:r>
    </w:p>
    <w:p w:rsidR="005A3DA6" w:rsidRPr="00AC1E44" w:rsidRDefault="005A3DA6" w:rsidP="005A3DA6">
      <w:pPr>
        <w:spacing w:line="360" w:lineRule="auto"/>
        <w:jc w:val="both"/>
      </w:pPr>
      <w:r w:rsidRPr="00A54DF5">
        <w:tab/>
        <w:t xml:space="preserve">2. </w:t>
      </w:r>
      <w:r w:rsidRPr="00AC1E44">
        <w:t>Создание объектов муниципальной собственности Киренского муниципального округа.</w:t>
      </w:r>
    </w:p>
    <w:p w:rsidR="005A3DA6" w:rsidRPr="00AC1E44" w:rsidRDefault="005A3DA6" w:rsidP="005A3DA6">
      <w:pPr>
        <w:spacing w:line="360" w:lineRule="auto"/>
        <w:jc w:val="both"/>
      </w:pPr>
      <w:r w:rsidRPr="00AC1E44">
        <w:tab/>
        <w:t>Перечень целевых показателей, характеризующих достижение цели и решение задачи программы:</w:t>
      </w:r>
    </w:p>
    <w:p w:rsidR="005A3DA6" w:rsidRPr="00850687" w:rsidRDefault="005A3DA6" w:rsidP="005A3DA6">
      <w:pPr>
        <w:spacing w:line="360" w:lineRule="auto"/>
        <w:jc w:val="both"/>
      </w:pPr>
      <w:r w:rsidRPr="00AC1E44">
        <w:tab/>
        <w:t xml:space="preserve">1. Доля объектов </w:t>
      </w:r>
      <w:r w:rsidRPr="00850687">
        <w:t>муниципального фонда, в которых проведена реконструкция, капитальный и текущий ремонт, от запланированного количества (%);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>2. Доля построенных объектов муниципального фонда от запланированного количества</w:t>
      </w:r>
      <w:proofErr w:type="gramStart"/>
      <w:r w:rsidRPr="00850687">
        <w:t xml:space="preserve"> (%).</w:t>
      </w:r>
      <w:proofErr w:type="gramEnd"/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>Методика расчёта целевых показателей: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1. Доля объектов муниципального  фонда, в которых проведена реконструкция, капитальный и текущий ремонт, от запланированного количества рассчитывается по формуле: К = А / В </w:t>
      </w:r>
      <w:proofErr w:type="spellStart"/>
      <w:r w:rsidRPr="00850687">
        <w:t>х</w:t>
      </w:r>
      <w:proofErr w:type="spellEnd"/>
      <w:r w:rsidRPr="00850687">
        <w:t xml:space="preserve"> 100, %, где: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- А </w:t>
      </w:r>
      <w:r>
        <w:t xml:space="preserve">- </w:t>
      </w:r>
      <w:r w:rsidRPr="00850687">
        <w:t>количество объектов муниципального  фонда, в которых проведена реконструкция, капитальный и текущий ремонт в отчётном году,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- В </w:t>
      </w:r>
      <w:r>
        <w:t xml:space="preserve">- </w:t>
      </w:r>
      <w:r w:rsidRPr="00850687">
        <w:t xml:space="preserve">количество объектов муниципального  фонда, в которых запланировано проведение работ </w:t>
      </w:r>
      <w:proofErr w:type="gramStart"/>
      <w:r w:rsidRPr="00850687">
        <w:t>по</w:t>
      </w:r>
      <w:proofErr w:type="gramEnd"/>
      <w:r w:rsidRPr="00850687">
        <w:t xml:space="preserve"> </w:t>
      </w:r>
      <w:proofErr w:type="gramStart"/>
      <w:r w:rsidRPr="00850687">
        <w:t>реконструкция</w:t>
      </w:r>
      <w:proofErr w:type="gramEnd"/>
      <w:r w:rsidRPr="00850687">
        <w:t>, капитальному и текущему ремонту в отчётном году.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2. Доля построенных объектов муниципального фонда от запланированного количества рассчитывается по формуле: К = А / В </w:t>
      </w:r>
      <w:proofErr w:type="spellStart"/>
      <w:r w:rsidRPr="00850687">
        <w:t>х</w:t>
      </w:r>
      <w:proofErr w:type="spellEnd"/>
      <w:r w:rsidRPr="00850687">
        <w:t xml:space="preserve"> 100, %, где: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lastRenderedPageBreak/>
        <w:tab/>
        <w:t xml:space="preserve">- А </w:t>
      </w:r>
      <w:r>
        <w:t xml:space="preserve">- </w:t>
      </w:r>
      <w:r w:rsidRPr="00850687">
        <w:t>планируемое количество построенных объектов муниципального фонда в отчётном году,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- В </w:t>
      </w:r>
      <w:r>
        <w:t xml:space="preserve">- </w:t>
      </w:r>
      <w:r w:rsidRPr="00850687">
        <w:t>фактическое количество построенных объектов муниципального фонда в отчётном году.</w:t>
      </w:r>
    </w:p>
    <w:p w:rsidR="005A3DA6" w:rsidRPr="00A85557" w:rsidRDefault="005A3DA6" w:rsidP="005A3DA6">
      <w:pPr>
        <w:spacing w:line="360" w:lineRule="auto"/>
        <w:jc w:val="both"/>
      </w:pPr>
      <w:r w:rsidRPr="00850687">
        <w:tab/>
        <w:t xml:space="preserve">Доля объектов муниципального  </w:t>
      </w:r>
      <w:r w:rsidRPr="00A85557">
        <w:t>фонда, в которых проведена реконструкция, капитальный и текущий ремонт, от запланированного количества, а также доля построенных объектов муниципального фонда от запланированного количества являются важным фактором оценки устойчивого развития Киренского муниципального округа.</w:t>
      </w:r>
    </w:p>
    <w:p w:rsidR="005A3DA6" w:rsidRPr="00A85557" w:rsidRDefault="005A3DA6" w:rsidP="005A3DA6">
      <w:pPr>
        <w:spacing w:line="360" w:lineRule="auto"/>
        <w:ind w:firstLine="709"/>
        <w:jc w:val="both"/>
      </w:pPr>
      <w:r w:rsidRPr="00A85557">
        <w:t>Внешние факторы, влияющие на достижение целевых показателей, отсутствуют.</w:t>
      </w:r>
    </w:p>
    <w:p w:rsidR="005A3DA6" w:rsidRPr="00A85557" w:rsidRDefault="005A3DA6" w:rsidP="005A3DA6">
      <w:pPr>
        <w:spacing w:line="360" w:lineRule="auto"/>
        <w:jc w:val="both"/>
      </w:pPr>
      <w:r w:rsidRPr="00A85557">
        <w:tab/>
        <w:t>Сроки реализации муниципальной программы: 2026 – 2036 гг.</w:t>
      </w:r>
    </w:p>
    <w:p w:rsidR="005A3DA6" w:rsidRPr="00A85557" w:rsidRDefault="005A3DA6" w:rsidP="005A3DA6">
      <w:pPr>
        <w:spacing w:line="360" w:lineRule="auto"/>
        <w:jc w:val="both"/>
      </w:pPr>
      <w:r w:rsidRPr="00A85557">
        <w:tab/>
        <w:t>Сведения о составе и значениях целевых показателей муниципальной программы приведены в приложении 1.</w:t>
      </w:r>
    </w:p>
    <w:p w:rsidR="005A3DA6" w:rsidRPr="00A85557" w:rsidRDefault="005A3DA6" w:rsidP="005A3DA6">
      <w:pPr>
        <w:jc w:val="center"/>
      </w:pPr>
    </w:p>
    <w:p w:rsidR="005A3DA6" w:rsidRPr="00A85557" w:rsidRDefault="005A3DA6" w:rsidP="005A3DA6">
      <w:pPr>
        <w:jc w:val="center"/>
      </w:pPr>
      <w:r w:rsidRPr="00A85557">
        <w:t>РАЗДЕЛ 3. ОСНОВНЫЕ МЕРОПРИЯТИЯ МУНИЦИПАЛЬНОЙ ПРОГРАММЫ, ОБОСНОВАНИЕ ВЫДЕЛЕНИЯ ПОДПРОГРАММ</w:t>
      </w:r>
    </w:p>
    <w:p w:rsidR="005A3DA6" w:rsidRPr="00A85557" w:rsidRDefault="005A3DA6" w:rsidP="005A3DA6">
      <w:pPr>
        <w:spacing w:line="360" w:lineRule="auto"/>
        <w:jc w:val="both"/>
      </w:pPr>
      <w:r w:rsidRPr="00A85557">
        <w:tab/>
      </w:r>
    </w:p>
    <w:p w:rsidR="005A3DA6" w:rsidRPr="00F249DA" w:rsidRDefault="005A3DA6" w:rsidP="005A3DA6">
      <w:pPr>
        <w:spacing w:line="360" w:lineRule="auto"/>
        <w:jc w:val="both"/>
      </w:pPr>
      <w:r w:rsidRPr="00A85557">
        <w:tab/>
        <w:t>Выделение подпрограмм в</w:t>
      </w:r>
      <w:r w:rsidRPr="00A85557">
        <w:rPr>
          <w:color w:val="000000"/>
        </w:rPr>
        <w:t xml:space="preserve"> муниципальной программе «</w:t>
      </w:r>
      <w:r w:rsidRPr="00A85557">
        <w:t xml:space="preserve">Строительство, реконструкция, </w:t>
      </w:r>
      <w:r w:rsidRPr="00F249DA">
        <w:t>капитальный и текущий ремонты объектов муниципальной собственности Киренского муниципального округа на 2026-2036 гг.» не предусмотрено.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>Основные мероприятия муниципальной программы: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ab/>
        <w:t>- разработка проектно-сметной документации;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ab/>
        <w:t>- проверка достоверности определения сметной стоимости;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ab/>
        <w:t>- строительство, реконструкция, капитальный и текущий ремонты объектов.</w:t>
      </w:r>
    </w:p>
    <w:p w:rsidR="005A3DA6" w:rsidRPr="00F249DA" w:rsidRDefault="005A3DA6" w:rsidP="005A3DA6">
      <w:pPr>
        <w:spacing w:line="360" w:lineRule="auto"/>
        <w:ind w:firstLine="709"/>
        <w:jc w:val="both"/>
        <w:rPr>
          <w:color w:val="000000"/>
        </w:rPr>
      </w:pPr>
    </w:p>
    <w:p w:rsidR="005A3DA6" w:rsidRPr="00F249DA" w:rsidRDefault="005A3DA6" w:rsidP="005A3DA6">
      <w:pPr>
        <w:spacing w:line="360" w:lineRule="auto"/>
        <w:jc w:val="center"/>
        <w:rPr>
          <w:color w:val="000000"/>
        </w:rPr>
      </w:pPr>
      <w:r w:rsidRPr="00F249DA">
        <w:rPr>
          <w:color w:val="000000"/>
        </w:rPr>
        <w:t>РАЗДЕЛ 4. РЕСУРСНОЕ ОБЕСПЕЧЕНИЕ МУНИЦИПАЛЬНОЙ ПРОГРАММЫ</w:t>
      </w:r>
    </w:p>
    <w:p w:rsidR="005A3DA6" w:rsidRPr="00F249DA" w:rsidRDefault="005A3DA6" w:rsidP="005A3DA6">
      <w:pPr>
        <w:spacing w:line="360" w:lineRule="auto"/>
        <w:rPr>
          <w:color w:val="000000"/>
        </w:rPr>
      </w:pPr>
    </w:p>
    <w:p w:rsidR="005A3DA6" w:rsidRPr="007D6C39" w:rsidRDefault="005A3DA6" w:rsidP="005A3DA6">
      <w:pPr>
        <w:spacing w:line="360" w:lineRule="auto"/>
        <w:jc w:val="both"/>
        <w:rPr>
          <w:color w:val="000000"/>
        </w:rPr>
      </w:pPr>
      <w:r w:rsidRPr="00F249DA">
        <w:rPr>
          <w:color w:val="000000"/>
        </w:rPr>
        <w:tab/>
      </w:r>
      <w:r w:rsidRPr="001B5E02">
        <w:rPr>
          <w:color w:val="000000"/>
        </w:rPr>
        <w:t xml:space="preserve">Финансирование муниципальной программы осуществляется за счёт средств местного бюджета. В случае предоставления средств областного бюджета, </w:t>
      </w:r>
      <w:proofErr w:type="gramStart"/>
      <w:r w:rsidRPr="001B5E02">
        <w:rPr>
          <w:color w:val="000000"/>
        </w:rPr>
        <w:t>данное</w:t>
      </w:r>
      <w:proofErr w:type="gramEnd"/>
      <w:r w:rsidRPr="001B5E02">
        <w:rPr>
          <w:color w:val="000000"/>
        </w:rPr>
        <w:t xml:space="preserve"> </w:t>
      </w:r>
      <w:proofErr w:type="spellStart"/>
      <w:r w:rsidRPr="001B5E02">
        <w:rPr>
          <w:color w:val="000000"/>
        </w:rPr>
        <w:t>софинансирование</w:t>
      </w:r>
      <w:proofErr w:type="spellEnd"/>
      <w:r w:rsidRPr="001B5E02">
        <w:rPr>
          <w:color w:val="000000"/>
        </w:rPr>
        <w:t xml:space="preserve"> указывается в муниципальной программе. Расчёт ресурсного обеспечения и финансирования муниципальной программы составлен на основе сметных расчётов. Ресурсное обеспечение реализации</w:t>
      </w:r>
      <w:r w:rsidRPr="007D6C39">
        <w:rPr>
          <w:color w:val="000000"/>
        </w:rPr>
        <w:t xml:space="preserve"> муниципальной программы приведено в приложении 2.</w:t>
      </w:r>
    </w:p>
    <w:p w:rsidR="005A3DA6" w:rsidRDefault="005A3DA6" w:rsidP="005A3DA6">
      <w:pPr>
        <w:jc w:val="center"/>
        <w:rPr>
          <w:color w:val="000000"/>
        </w:rPr>
      </w:pPr>
    </w:p>
    <w:p w:rsidR="005A3DA6" w:rsidRPr="006522D8" w:rsidRDefault="005A3DA6" w:rsidP="005A3DA6">
      <w:pPr>
        <w:jc w:val="center"/>
        <w:rPr>
          <w:color w:val="000000"/>
        </w:rPr>
      </w:pPr>
      <w:r w:rsidRPr="006522D8">
        <w:rPr>
          <w:color w:val="000000"/>
        </w:rPr>
        <w:t>РАЗДЕЛ 5. ОЖИДАЕМЫЕ КОНЕЧНЫЕ РЕЗУЛЬТАТЫ РЕАЛИЗАЦИИ МУНИЦИПАЛЬНОЙ ПРОГРАММЫ</w:t>
      </w:r>
    </w:p>
    <w:p w:rsidR="005A3DA6" w:rsidRPr="006522D8" w:rsidRDefault="005A3DA6" w:rsidP="005A3DA6">
      <w:pPr>
        <w:spacing w:line="360" w:lineRule="auto"/>
        <w:jc w:val="both"/>
        <w:rPr>
          <w:color w:val="000000"/>
        </w:rPr>
      </w:pPr>
    </w:p>
    <w:p w:rsidR="005A3DA6" w:rsidRPr="00CB253B" w:rsidRDefault="005A3DA6" w:rsidP="005A3DA6">
      <w:pPr>
        <w:spacing w:line="360" w:lineRule="auto"/>
        <w:jc w:val="both"/>
      </w:pPr>
      <w:r w:rsidRPr="006522D8">
        <w:tab/>
        <w:t xml:space="preserve">Реализация муниципальной </w:t>
      </w:r>
      <w:r w:rsidRPr="00CB253B">
        <w:t xml:space="preserve">программы «Строительство, реконструкция, капитальный и текущий ремонты объектов муниципальной собственности Киренского </w:t>
      </w:r>
      <w:r w:rsidRPr="00CB253B">
        <w:lastRenderedPageBreak/>
        <w:t>муниципального округа на 2026-2036 гг.» вносит существенный вклад в достижение показателей социально-экономического развития Киренского муниципального округа</w:t>
      </w:r>
      <w:r>
        <w:t>.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>В результате реализации муниципальной программы ожидается повышение следующих показателей: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 xml:space="preserve">1. </w:t>
      </w:r>
      <w:r>
        <w:t>Обеспечение доли</w:t>
      </w:r>
      <w:r w:rsidRPr="00CB253B">
        <w:t xml:space="preserve"> объектов муниципального фонда, в которых проведена реконструкция, капитальный и текущий ремонт, </w:t>
      </w:r>
      <w:r>
        <w:t xml:space="preserve">от запланированного количества до </w:t>
      </w:r>
      <w:r w:rsidRPr="00CB253B">
        <w:t>100 %;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 xml:space="preserve">2. </w:t>
      </w:r>
      <w:r>
        <w:t>Обеспечение д</w:t>
      </w:r>
      <w:r w:rsidRPr="00CB253B">
        <w:t>ол</w:t>
      </w:r>
      <w:r>
        <w:t>и</w:t>
      </w:r>
      <w:r w:rsidRPr="00CB253B">
        <w:t xml:space="preserve"> построенных объектов муниципального фонда от запланированного количества </w:t>
      </w:r>
      <w:r>
        <w:t>до 100 %</w:t>
      </w:r>
      <w:r w:rsidRPr="00CB253B">
        <w:t>;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>А также повышение эффективности, качества обслуживания населения, увеличение социальных объектов, отвечающих современным требованиям,  исключение аварийных ситуаций и несчастных случаев.</w:t>
      </w: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ind w:left="5103"/>
        <w:jc w:val="right"/>
      </w:pPr>
      <w:r w:rsidRPr="00CB253B">
        <w:t>Приложение 1</w:t>
      </w:r>
    </w:p>
    <w:p w:rsidR="005A3DA6" w:rsidRPr="00CB253B" w:rsidRDefault="005A3DA6" w:rsidP="005A3DA6">
      <w:pPr>
        <w:ind w:left="5103"/>
        <w:jc w:val="right"/>
      </w:pPr>
      <w:r w:rsidRPr="00CB253B">
        <w:t>к м</w:t>
      </w:r>
      <w:r w:rsidRPr="00CB253B">
        <w:rPr>
          <w:color w:val="000000"/>
        </w:rPr>
        <w:t>униципальной программе «</w:t>
      </w:r>
      <w:r w:rsidRPr="00CB253B">
        <w:t>Строительство, реконструкция, капитальный и текущий ремонты объектов муниципальной собственности Киренского муниципального округа на 2026-2036 гг.</w:t>
      </w:r>
      <w:r w:rsidRPr="00CB253B">
        <w:rPr>
          <w:color w:val="000000"/>
        </w:rPr>
        <w:t>»</w:t>
      </w:r>
    </w:p>
    <w:p w:rsidR="005A3DA6" w:rsidRPr="00CB253B" w:rsidRDefault="005A3DA6" w:rsidP="005A3DA6">
      <w:pPr>
        <w:jc w:val="center"/>
        <w:rPr>
          <w:b/>
        </w:rPr>
      </w:pPr>
    </w:p>
    <w:p w:rsidR="005A3DA6" w:rsidRPr="00850A91" w:rsidRDefault="005A3DA6" w:rsidP="005A3DA6">
      <w:pPr>
        <w:jc w:val="center"/>
      </w:pPr>
      <w:r w:rsidRPr="00CB253B">
        <w:rPr>
          <w:b/>
        </w:rPr>
        <w:t xml:space="preserve">СВЕДЕНИЯ О СОСТАВЕ И ЗНАЧЕНИЯХ ЦЕЛЕВЫХ ПОКАЗАТЕЛЕЙ МУНИЦИПАЛЬНОЙ ПРОГРАММЫ «СТРОИТЕЛЬСТВО, РЕКОНСТРУКЦИЯ, </w:t>
      </w:r>
      <w:r w:rsidRPr="00850A91">
        <w:rPr>
          <w:b/>
        </w:rPr>
        <w:t>КАПИТАЛЬНЫЙ И ТЕКУЩИЙ РЕМОНТЫ ОБЪЕКТОВ МУНИЦИПАЛЬНОЙ СОБСТВЕННОСТИ КИРЕНСКОГО МУНИЦИПАЛЬНОГО ОКРУГА НА 2026 - 2036 ГГ.»</w:t>
      </w:r>
    </w:p>
    <w:p w:rsidR="005A3DA6" w:rsidRPr="00850A91" w:rsidRDefault="005A3DA6" w:rsidP="005A3DA6">
      <w:pPr>
        <w:jc w:val="center"/>
        <w:rPr>
          <w:b/>
        </w:rPr>
      </w:pPr>
      <w:r w:rsidRPr="00850A91">
        <w:t>(далее – программа)</w:t>
      </w:r>
    </w:p>
    <w:p w:rsidR="005A3DA6" w:rsidRPr="00850A91" w:rsidRDefault="005A3DA6" w:rsidP="005A3DA6">
      <w:pPr>
        <w:jc w:val="center"/>
      </w:pPr>
    </w:p>
    <w:tbl>
      <w:tblPr>
        <w:tblW w:w="9907" w:type="dxa"/>
        <w:tblInd w:w="-601" w:type="dxa"/>
        <w:tblLayout w:type="fixed"/>
        <w:tblLook w:val="04A0"/>
      </w:tblPr>
      <w:tblGrid>
        <w:gridCol w:w="495"/>
        <w:gridCol w:w="2766"/>
        <w:gridCol w:w="592"/>
        <w:gridCol w:w="666"/>
        <w:gridCol w:w="15"/>
        <w:gridCol w:w="694"/>
        <w:gridCol w:w="426"/>
        <w:gridCol w:w="425"/>
        <w:gridCol w:w="425"/>
        <w:gridCol w:w="425"/>
        <w:gridCol w:w="425"/>
        <w:gridCol w:w="426"/>
        <w:gridCol w:w="417"/>
        <w:gridCol w:w="433"/>
        <w:gridCol w:w="425"/>
        <w:gridCol w:w="426"/>
        <w:gridCol w:w="426"/>
      </w:tblGrid>
      <w:tr w:rsidR="005A3DA6" w:rsidRPr="00850A91" w:rsidTr="00BA4949">
        <w:trPr>
          <w:trHeight w:val="31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0A9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50A9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50A9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850A91">
              <w:rPr>
                <w:color w:val="000000"/>
                <w:sz w:val="20"/>
                <w:szCs w:val="20"/>
              </w:rPr>
              <w:t>изм</w:t>
            </w:r>
            <w:proofErr w:type="spellEnd"/>
            <w:r w:rsidRPr="00850A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0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5A3DA6" w:rsidRPr="00850A91" w:rsidTr="00BA4949">
        <w:trPr>
          <w:trHeight w:val="6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отчётный год 2024 г.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 xml:space="preserve">2025 </w:t>
            </w:r>
            <w:r>
              <w:rPr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2036</w:t>
            </w:r>
          </w:p>
        </w:tc>
      </w:tr>
      <w:tr w:rsidR="005A3DA6" w:rsidRPr="00850A91" w:rsidTr="00BA4949">
        <w:trPr>
          <w:trHeight w:val="315"/>
        </w:trPr>
        <w:tc>
          <w:tcPr>
            <w:tcW w:w="94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Муниципальная программа «Строительство, реконструкция, капитальный и текущий ремонты объектов муниципальной собственности Киренского муниципального округа на 2026-2036 гг.»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DA6" w:rsidRPr="00850A91" w:rsidTr="00BA4949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Доля объектов муниципального фонда, в которых проведена реконструкция, капитальный и текущий ремонт, от запланированного количества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sz w:val="20"/>
                <w:szCs w:val="20"/>
              </w:rPr>
            </w:pPr>
            <w:r w:rsidRPr="00850A91">
              <w:rPr>
                <w:sz w:val="20"/>
                <w:szCs w:val="20"/>
              </w:rPr>
              <w:t>% в год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A3DA6" w:rsidRPr="00850A91" w:rsidTr="00BA4949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Доля построенных объектов муниципального фонда от запланированного количества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sz w:val="20"/>
                <w:szCs w:val="20"/>
              </w:rPr>
            </w:pPr>
            <w:r w:rsidRPr="00850A91">
              <w:rPr>
                <w:sz w:val="20"/>
                <w:szCs w:val="20"/>
              </w:rPr>
              <w:t>% в год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5A3DA6" w:rsidRPr="00850A91" w:rsidRDefault="005A3DA6" w:rsidP="005A3DA6">
      <w:pPr>
        <w:spacing w:line="360" w:lineRule="auto"/>
        <w:jc w:val="both"/>
      </w:pPr>
    </w:p>
    <w:p w:rsidR="005A3DA6" w:rsidRPr="009E0A2D" w:rsidRDefault="005A3DA6" w:rsidP="005A3DA6">
      <w:pPr>
        <w:spacing w:line="360" w:lineRule="auto"/>
        <w:jc w:val="both"/>
        <w:rPr>
          <w:highlight w:val="green"/>
        </w:rPr>
      </w:pPr>
    </w:p>
    <w:p w:rsidR="005A3DA6" w:rsidRPr="009E0A2D" w:rsidRDefault="005A3DA6" w:rsidP="005A3DA6">
      <w:pPr>
        <w:spacing w:line="360" w:lineRule="auto"/>
        <w:jc w:val="both"/>
        <w:rPr>
          <w:highlight w:val="green"/>
        </w:rPr>
      </w:pPr>
    </w:p>
    <w:p w:rsidR="005A3DA6" w:rsidRDefault="005A3DA6">
      <w:pPr>
        <w:spacing w:line="276" w:lineRule="auto"/>
        <w:jc w:val="both"/>
      </w:pPr>
      <w:r>
        <w:br w:type="page"/>
      </w:r>
    </w:p>
    <w:p w:rsidR="005A3DA6" w:rsidRPr="001766A3" w:rsidRDefault="005A3DA6" w:rsidP="005A3DA6">
      <w:pPr>
        <w:spacing w:line="360" w:lineRule="auto"/>
        <w:jc w:val="both"/>
        <w:sectPr w:rsidR="005A3DA6" w:rsidRPr="001766A3" w:rsidSect="002A14E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860" w:type="dxa"/>
        <w:tblInd w:w="94" w:type="dxa"/>
        <w:tblLook w:val="04A0"/>
      </w:tblPr>
      <w:tblGrid>
        <w:gridCol w:w="2000"/>
        <w:gridCol w:w="1660"/>
        <w:gridCol w:w="1460"/>
        <w:gridCol w:w="940"/>
        <w:gridCol w:w="880"/>
        <w:gridCol w:w="960"/>
        <w:gridCol w:w="880"/>
        <w:gridCol w:w="880"/>
        <w:gridCol w:w="880"/>
        <w:gridCol w:w="880"/>
        <w:gridCol w:w="880"/>
        <w:gridCol w:w="880"/>
        <w:gridCol w:w="880"/>
        <w:gridCol w:w="880"/>
        <w:gridCol w:w="920"/>
      </w:tblGrid>
      <w:tr w:rsidR="005A3DA6" w:rsidRPr="00C25AAE" w:rsidTr="00BA4949">
        <w:trPr>
          <w:trHeight w:val="12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</w:rPr>
            </w:pPr>
            <w:r w:rsidRPr="00C25AAE">
              <w:rPr>
                <w:color w:val="000000"/>
              </w:rPr>
              <w:t>Приложение 2</w:t>
            </w:r>
            <w:r w:rsidRPr="00C25AAE">
              <w:rPr>
                <w:color w:val="000000"/>
              </w:rPr>
              <w:br/>
              <w:t>к муниципальной программе «Строительство, реконструкция, капитальный и текущий ремонты объектов муниципальной собственности Киренского муниципального округа на 2026 - 2036 годы»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</w:tr>
      <w:tr w:rsidR="005A3DA6" w:rsidRPr="00C25AAE" w:rsidTr="00BA4949">
        <w:trPr>
          <w:trHeight w:val="945"/>
        </w:trPr>
        <w:tc>
          <w:tcPr>
            <w:tcW w:w="15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25AAE">
              <w:rPr>
                <w:b/>
                <w:bCs/>
                <w:color w:val="000000"/>
              </w:rPr>
              <w:t>РЕСУРСНОЕ ОБЕСПЕЧЕНИЕ РЕАЛИЗАЦИИ МУНИЦИПАЛЬНОЙ ПРОГРАММЫ «СТРОИТЕЛЬСТВО, РЕКОНСТРУКЦИЯ, КАПИТАЛЬНЫЙ И ТЕКУЩИЙ РЕМОНТЫ ОБЪЕКТОВ МУНИЦИПАЛЬНОЙ СОБСТВЕННОСТИ КИРЕНСКОГО МУНИЦИПАЛЬНОГО ОКРУГА НА 2026 – 2036 ГГ.» ЗА СЧЁТ ВСЕХ ИСТОЧНИКОВ ФИНАНСИРОВАНИЯ</w:t>
            </w:r>
            <w:proofErr w:type="gramEnd"/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Муниципальная программа «Строительство, реконструкция, капитальный и текущий ремонты объектов муниципальной собственности Киренского муниципального округа на 2026 - 2036 годы»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C25AAE">
              <w:rPr>
                <w:color w:val="000000"/>
                <w:sz w:val="16"/>
                <w:szCs w:val="16"/>
              </w:rPr>
              <w:t>ОБ</w:t>
            </w:r>
            <w:proofErr w:type="gramEnd"/>
            <w:r w:rsidRPr="00C25AA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Местный бюдже</w:t>
            </w:r>
            <w:proofErr w:type="gramStart"/>
            <w:r w:rsidRPr="00C25AAE">
              <w:rPr>
                <w:color w:val="000000"/>
                <w:sz w:val="16"/>
                <w:szCs w:val="16"/>
              </w:rPr>
              <w:t>т(</w:t>
            </w:r>
            <w:proofErr w:type="gramEnd"/>
            <w:r w:rsidRPr="00C25AAE">
              <w:rPr>
                <w:color w:val="000000"/>
                <w:sz w:val="16"/>
                <w:szCs w:val="16"/>
              </w:rPr>
              <w:t>МБ)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иные источники (ИИ)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Ответственный исполнитель: Отдел по градостроительству, строительству, реконструкции и капитальному </w:t>
            </w:r>
            <w:r w:rsidRPr="00C25AAE">
              <w:rPr>
                <w:color w:val="000000"/>
                <w:sz w:val="16"/>
                <w:szCs w:val="16"/>
              </w:rPr>
              <w:lastRenderedPageBreak/>
              <w:t>ремонту объектов администрации Киренского муниципального района (далее - Отдел)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lastRenderedPageBreak/>
              <w:t>Основное мероприятие: разработка проектно-сметной документации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15 400,0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16 940,0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190 340,0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15 400,0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16 940,0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190 340,0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Основное мероприятие: проверка достоверности определения сметной стоимости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2 750,0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3 025,0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40 275,0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2 750,0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3 025,0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40 275,0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Основное мероприятие: строительство, реконструкция, капитальный и текущий ремонты объектов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49 500,0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54 450,0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588 950,0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49 500,0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54 450,0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588 950,0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</w:tbl>
    <w:p w:rsidR="005A3DA6" w:rsidRPr="00C25AAE" w:rsidRDefault="005A3DA6" w:rsidP="005A3DA6"/>
    <w:p w:rsidR="003D64E3" w:rsidRPr="005A3DA6" w:rsidRDefault="003D64E3" w:rsidP="005A3DA6">
      <w:pPr>
        <w:ind w:firstLine="708"/>
      </w:pPr>
    </w:p>
    <w:sectPr w:rsidR="003D64E3" w:rsidRPr="005A3DA6" w:rsidSect="005A3DA6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905EB"/>
    <w:rsid w:val="00093F3D"/>
    <w:rsid w:val="000A1F62"/>
    <w:rsid w:val="000A3A20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1F8F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31D7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5ABC"/>
    <w:rsid w:val="003D64E3"/>
    <w:rsid w:val="003D74AB"/>
    <w:rsid w:val="003E0A0C"/>
    <w:rsid w:val="00404D94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1746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F2F"/>
    <w:rsid w:val="004E13BC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55A41"/>
    <w:rsid w:val="00585605"/>
    <w:rsid w:val="005871E9"/>
    <w:rsid w:val="00596A69"/>
    <w:rsid w:val="00596B78"/>
    <w:rsid w:val="00596C41"/>
    <w:rsid w:val="005A0A2B"/>
    <w:rsid w:val="005A3DA6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0026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3905"/>
    <w:rsid w:val="008E598E"/>
    <w:rsid w:val="008E639E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B3852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A59D0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14A4-B3CF-4B67-835C-1BEA2444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9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142</cp:revision>
  <cp:lastPrinted>2025-10-14T05:58:00Z</cp:lastPrinted>
  <dcterms:created xsi:type="dcterms:W3CDTF">2013-01-30T07:42:00Z</dcterms:created>
  <dcterms:modified xsi:type="dcterms:W3CDTF">2025-10-22T02:59:00Z</dcterms:modified>
</cp:coreProperties>
</file>