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Сводный годовой доклад о ходе реализации и об оценке эффективности муниципальных программ Усть-Илимского муниципального округа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по итогам 2024 года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В течении 2024 года на территории Усть-Илимского муниципального округа реализовывалось 57 муниципальных программ.</w:t>
      </w:r>
    </w:p>
    <w:p>
      <w:pPr>
        <w:pStyle w:val="ConsPlusDocList1"/>
        <w:ind w:firstLine="709"/>
        <w:jc w:val="both"/>
        <w:rPr/>
      </w:pPr>
      <w:r>
        <w:rPr>
          <w:rFonts w:eastAsia="NSimSun" w:cs="Times New Roman" w:ascii="Times New Roman" w:hAnsi="Times New Roman"/>
          <w:sz w:val="24"/>
          <w:szCs w:val="24"/>
        </w:rPr>
        <w:t xml:space="preserve">Сводный годовой доклад о ходе реализации и об оценке эффективности муниципальных программ Усть-Илимского муниципального округа по итогам 2024 года  подготовлен на основании отчетов </w:t>
      </w:r>
      <w:r>
        <w:rPr>
          <w:rFonts w:cs="Times New Roman" w:ascii="Times New Roman" w:hAnsi="Times New Roman"/>
          <w:sz w:val="24"/>
          <w:szCs w:val="24"/>
        </w:rPr>
        <w:t xml:space="preserve">о реализации муниципальных программ за 2024 год, </w:t>
      </w:r>
      <w:r>
        <w:rPr>
          <w:rFonts w:eastAsia="NSimSun" w:cs="Times New Roman" w:ascii="Times New Roman" w:hAnsi="Times New Roman"/>
          <w:sz w:val="24"/>
          <w:szCs w:val="24"/>
        </w:rPr>
        <w:t xml:space="preserve">предоставленных ответственными исполнителями муниципальных программ.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В целях оценки хода реализации и эффективности муниципальных программ применяется интегральная оценка муниципальных программ (далее – интегральная оценка).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Интегральная оценка рассчитывается как средневзвешенная оценка достижения целевых показателей муниципальной программы и оценки качества финансового управления при реализации муниципальной программы в отчетном году.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В интегральную оценку включены </w:t>
      </w:r>
      <w:r>
        <w:rPr>
          <w:rFonts w:cs="Times New Roman" w:ascii="Times New Roman" w:hAnsi="Times New Roman"/>
          <w:b/>
          <w:bCs/>
        </w:rPr>
        <w:t>25</w:t>
      </w:r>
      <w:r>
        <w:rPr>
          <w:rFonts w:cs="Times New Roman" w:ascii="Times New Roman" w:hAnsi="Times New Roman"/>
        </w:rPr>
        <w:t xml:space="preserve"> муниципальных программ из </w:t>
      </w:r>
      <w:r>
        <w:rPr>
          <w:rFonts w:cs="Times New Roman" w:ascii="Times New Roman" w:hAnsi="Times New Roman"/>
          <w:b/>
        </w:rPr>
        <w:t>57.</w:t>
      </w:r>
      <w:r>
        <w:rPr>
          <w:rFonts w:cs="Times New Roman" w:ascii="Times New Roman" w:hAnsi="Times New Roman"/>
        </w:rPr>
        <w:t xml:space="preserve"> Это связано с тем, что </w:t>
      </w:r>
      <w:r>
        <w:rPr>
          <w:rFonts w:cs="Times New Roman" w:ascii="Times New Roman" w:hAnsi="Times New Roman"/>
          <w:b/>
          <w:bCs/>
        </w:rPr>
        <w:t>21</w:t>
      </w:r>
      <w:r>
        <w:rPr>
          <w:rFonts w:cs="Times New Roman" w:ascii="Times New Roman" w:hAnsi="Times New Roman"/>
        </w:rPr>
        <w:t xml:space="preserve"> муниципальная программа не имеет установленных целевых показателей и в </w:t>
      </w:r>
      <w:r>
        <w:rPr>
          <w:rFonts w:cs="Times New Roman" w:ascii="Times New Roman" w:hAnsi="Times New Roman"/>
          <w:b/>
        </w:rPr>
        <w:t>11</w:t>
      </w:r>
      <w:r>
        <w:rPr>
          <w:rFonts w:cs="Times New Roman" w:ascii="Times New Roman" w:hAnsi="Times New Roman"/>
        </w:rPr>
        <w:t xml:space="preserve"> муниципальных программах не предусматривалось финансирование.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По итогам интегральной оценки эффективность 10 муниципальных программ оценивается как «высокая», 13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 «выше среднего», 2 </w:t>
      </w:r>
      <w:r>
        <w:rPr>
          <w:rFonts w:cs="Times New Roman" w:ascii="Times New Roman" w:hAnsi="Times New Roman"/>
          <w:b/>
          <w:bCs/>
          <w:strike/>
        </w:rPr>
        <w:t>-</w:t>
      </w:r>
      <w:r>
        <w:rPr>
          <w:rFonts w:cs="Times New Roman" w:ascii="Times New Roman" w:hAnsi="Times New Roman"/>
        </w:rPr>
        <w:t xml:space="preserve"> «ниже среднего».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Муниципальные программы с наиболее высокой оценкой эффективности: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«Профилактика наркомании и токсикомании на территории Тубинского муниципального образования», утвержденная постановлением администрации Тубинского муниципального образования от 02.08.2016 № 83;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«Использование и охрана земель на территории Железнодорожного муниципального образования», утвержденная постановлением администрации Железнодорожного муниципального образования от 17.06.2020 № 144;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«Пожарная безопасность и защита населения и территории сельского поселения от чрезвычайных ситуаций Ершовского муниципального образования, у</w:t>
      </w:r>
      <w:r>
        <w:rPr>
          <w:rFonts w:cs="Times New Roman" w:ascii="Times New Roman" w:hAnsi="Times New Roman"/>
          <w:color w:val="000000"/>
        </w:rPr>
        <w:t xml:space="preserve">твержденная постановлением администрации Ершовского муниципального образования от 26.12.2019 № 44. 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Высокая эффективность данных программ является следствием значительного уровня достижения установленных целевых показателей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и исполнения плановых объемов финансирования.</w:t>
      </w:r>
    </w:p>
    <w:p>
      <w:pPr>
        <w:pStyle w:val="Style16"/>
        <w:jc w:val="both"/>
        <w:rPr/>
      </w:pPr>
      <w:r>
        <w:rPr>
          <w:rFonts w:cs="Times New Roman" w:ascii="Times New Roman" w:hAnsi="Times New Roman"/>
        </w:rPr>
        <w:tab/>
        <w:t xml:space="preserve">Муниципальные программы с наиболее низкой оценкой эффективности: 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«Об энергосбережении и повышении энергетической эффективности на территории муниципального образования «Усть-Илимский район»,</w:t>
      </w:r>
      <w:r>
        <w:rPr>
          <w:rFonts w:cs="Times New Roman" w:ascii="Times New Roman" w:hAnsi="Times New Roman"/>
          <w:color w:val="000000"/>
        </w:rPr>
        <w:t xml:space="preserve"> утвержденная п</w:t>
      </w:r>
      <w:r>
        <w:rPr>
          <w:rFonts w:cs="Times New Roman" w:ascii="Times New Roman" w:hAnsi="Times New Roman"/>
        </w:rPr>
        <w:t>остановлением администрации муниципального образования «Усть-Илимский район» от 28.12.2018 № 469;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«Безопасность», утвержденная постановлением администрации муниципального образования «Усть-Илимский район» от 28.12.2018 № 467.</w:t>
      </w:r>
    </w:p>
    <w:p>
      <w:pPr>
        <w:pStyle w:val="Style16"/>
        <w:jc w:val="both"/>
        <w:rPr/>
      </w:pPr>
      <w:r>
        <w:rPr>
          <w:rFonts w:cs="Times New Roman" w:ascii="Times New Roman" w:hAnsi="Times New Roman"/>
        </w:rPr>
        <w:tab/>
        <w:t xml:space="preserve">На оценку эффективности муниципальной программы «Об энергосбережении и повышении энергетической эффективности на территории муниципального образования «Усть-Илимский район» повлияли следующие факторы: </w:t>
      </w:r>
    </w:p>
    <w:p>
      <w:pPr>
        <w:pStyle w:val="Style16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</w:rPr>
        <w:t>не достигнут показатель «Проведение необходимого количества ремонтов, замены и технического обслужи</w:t>
      </w:r>
      <w:r>
        <w:rPr>
          <w:rFonts w:cs="Times New Roman" w:ascii="Times New Roman" w:hAnsi="Times New Roman"/>
          <w:color w:val="000000"/>
        </w:rPr>
        <w:t xml:space="preserve">вания приборов учета и средств метрологического измерения, по причине того, что из запланированных 11 ремонтов выполнено 10, а именно не проведены вышеуказанные мероприятия в МДОУ «Малыш».  </w:t>
      </w:r>
    </w:p>
    <w:p>
      <w:pPr>
        <w:pStyle w:val="Style16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</w:rPr>
        <w:t xml:space="preserve">2. </w:t>
      </w:r>
      <w:r>
        <w:rPr>
          <w:rFonts w:cs="Times New Roman" w:ascii="Times New Roman" w:hAnsi="Times New Roman"/>
          <w:color w:val="000000"/>
        </w:rPr>
        <w:t xml:space="preserve">показатель «Ежегодное снижение потребления коммунальных ресурсов» в отношении к объемам потребления коммунальных ресурсов за предыдущий период на 0,1% не достигнут, так как в трех учреждениях Усть-Илимского муниципального округа был зафиксирован перерасход холодной воды. Причины перерасхода холодной воды в трех учреждениях следующие: </w:t>
      </w:r>
    </w:p>
    <w:p>
      <w:pPr>
        <w:pStyle w:val="Style16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1) МДОУ «Малыш» - в результате прорыва трубопровода произошла утечка на сетях водоснабжения детского сада;</w:t>
      </w:r>
    </w:p>
    <w:p>
      <w:pPr>
        <w:pStyle w:val="Style16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2) МУ РСОЦ «Молодежный» - произошел рост объема предоставленных услуг по отношению к предыдущему году, в том числе заливка катка. Хотя целевой показатель достигнут не был, сам факт увеличения объёма услуг следует расценивать как положительную динамику. </w:t>
      </w:r>
    </w:p>
    <w:p>
      <w:pPr>
        <w:pStyle w:val="Style16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3) МОУ «Железнодорожная СОШ №2» - были реконструированы спортивные раздевалки  с душевыми кабинами, активная эксплуатация которых началась в 2024 году, что повлекло увеличение расхода воды.  Несмотря на рост коммунальных затрат, обновлённые помещения обеспечивают значительно более комфортные и безопасные условия для учащихся, что расценивается как позитивный итог проведённых работ. 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ab/>
      </w:r>
      <w:r>
        <w:rPr>
          <w:rFonts w:cs="Times New Roman" w:ascii="Times New Roman" w:hAnsi="Times New Roman"/>
          <w:color w:val="000000"/>
          <w:shd w:fill="auto" w:val="clear"/>
        </w:rPr>
        <w:t>На оценку эффективности муниципальной программы «Безопасность» повлиял низкий процент финансового исполнения. Это связано с тем, что основной объем финансирования, предусмотренный программой был запланирован, но не израсходован в полном размере на следующие мероприятия: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  <w:tab/>
        <w:t xml:space="preserve">1. Мероприятия по выявлению и оценке объектов накопленного вреда окружающей среде, в том числе проведения инженерных изысканий, разработка ПСД ликвидации накопленного вреда и работы по ликвидации накопленного вреда. 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  <w:tab/>
        <w:t xml:space="preserve">Реализация данных мероприятий не была осуществлена в полной мере из-за позднего утверждения плана природоохранных мероприятий и формирования устойчивого снежного покрова. 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  <w:tab/>
        <w:t xml:space="preserve">2. Организация содержания и ремонта автомобильных дорог общего пользования местного значения и искусственных сооружений на них. 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  <w:tab/>
        <w:t>Средства дорожного фонда расходовались с существенной экономией ввиду малого количества дорог, находящихся в ведении муниципального образования «Усть</w:t>
      </w:r>
      <w:r>
        <w:rPr>
          <w:rFonts w:cs="Times New Roman" w:ascii="Times New Roman" w:hAnsi="Times New Roman"/>
          <w:b/>
          <w:bCs/>
          <w:color w:val="000000"/>
          <w:shd w:fill="auto" w:val="clear"/>
        </w:rPr>
        <w:t>-</w:t>
      </w:r>
      <w:r>
        <w:rPr>
          <w:rFonts w:cs="Times New Roman" w:ascii="Times New Roman" w:hAnsi="Times New Roman"/>
          <w:color w:val="000000"/>
          <w:shd w:fill="auto" w:val="clear"/>
        </w:rPr>
        <w:t xml:space="preserve">Илимский район». </w:t>
      </w:r>
    </w:p>
    <w:p>
      <w:pPr>
        <w:pStyle w:val="Style1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  <w:tab/>
        <w:t>С 2025 года в связи с преобразованием муниципального района в муниципальный округ все автомобильные дороги, расположенные в границах населенных пунктов, перешли в ведение муниципального округа. В связи с этим объём дорожной сети, подлежащей содержанию и ремонту, существенно увеличится, что повлечет за собой большее расходование средств дорожного фонда.</w:t>
      </w:r>
    </w:p>
    <w:p>
      <w:pPr>
        <w:pStyle w:val="Style16"/>
        <w:ind w:firstLine="709"/>
        <w:jc w:val="both"/>
        <w:rPr/>
      </w:pPr>
      <w:r>
        <w:rPr>
          <w:rFonts w:cs="Times New Roman" w:ascii="Times New Roman" w:hAnsi="Times New Roman"/>
        </w:rPr>
        <w:t>Средняя интегральная оценка эффективности муниципальных программ составила 84,7 %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Всего на уровне муниципальных программ было установлено 395 показателей, из них полностью выполнено (перевыполнено) – 313, что составлило 79,2 % от общего числа показателей.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Финансовое исполнение муниципальных программ составило 89,1 %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Подробные сведения об оценке эффективности муниципальных программ с декомпозицией по компонентам оценки представлены в </w:t>
      </w:r>
      <w:r>
        <w:rPr>
          <w:rFonts w:cs="Times New Roman" w:ascii="Times New Roman" w:hAnsi="Times New Roman"/>
          <w:color w:val="000000"/>
        </w:rPr>
        <w:t>Таблице 1.</w:t>
      </w:r>
    </w:p>
    <w:p>
      <w:pPr>
        <w:pStyle w:val="Normal"/>
        <w:ind w:firstLine="709"/>
        <w:jc w:val="right"/>
        <w:rPr/>
      </w:pPr>
      <w:r>
        <w:rPr>
          <w:rFonts w:cs="Times New Roman" w:ascii="Times New Roman" w:hAnsi="Times New Roman"/>
        </w:rPr>
        <w:t>Таблица 1</w:t>
      </w:r>
    </w:p>
    <w:tbl>
      <w:tblPr>
        <w:tblW w:w="5000" w:type="pct"/>
        <w:jc w:val="left"/>
        <w:tblInd w:w="6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5"/>
        <w:gridCol w:w="3692"/>
        <w:gridCol w:w="1516"/>
        <w:gridCol w:w="1533"/>
        <w:gridCol w:w="1302"/>
        <w:gridCol w:w="1422"/>
      </w:tblGrid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 финансового исполнения, %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 достижения целевых показателей, %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Интегральная оценка, 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Категория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значение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89,1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79,2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«Использование и охрана земель на территории Железнодорожного муниципального образования на 2020-2023 годы», утвержденная постановлением администрации Железнодорожного муниципального образования от 17.06.2020 № 144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«Профилактика наркомании и токсикомании на территории Тубинского муниципального образования на 2017-226 годы», утвержденная постановлением администрации Тубинского муниципального образования от 02.08.2016 № 83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«Пожарная безопасность и защита населения и территории сельского поселения от чрезвычайных ситуаций»,  утвержденная постановлением администрации Ершовского муниципального образования от 26.12.2019 № 44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«Обеспечение комплексных мер противодействия чрезвычайным ситуациям природного и техногенного характера»,  утвержденная постановлением администрации Железнодорожного муниципального образования от 16.11.2023 № 262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«Культура Эдучанского муниципального образования»,  утвержденная постановлением администрации Эдучанского муниципального образования от 21.10.2019 № 36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«Архитектура и градостроительство в муниципальном образовании «Усть-Илимский район»,  утвержденная постановлением администрации муниципального образования «Усть-Илимский район» 04.04.2019 № 185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«Образование в муниципальном образовании «Усть-Илимский район», утвержденная постановлением администрации муниципального образования «Усть-Илимский район» от 28.12.2018 № 465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и управление имущественным комплексом и земельными ресурсами в Железнодорожном муниципальном образовании»,  утвержденная постановлением администрации Железнодорожного муниципального образования от 16.11.2023 № 262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«Формирование комфортной городской среды на территории Железнодорожного муниципального образования»,  утвержденная постановлением администрации Железнодорожного муниципального образования от 20.07.2020 № 163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«Муниципальные финансы муниципального образования «Усть-Илимский район»,  утвержденная постановлением администрации муниципального образования «Усть-Илимский район» от 28.12.2018 № 483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эффективность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«Здоровое поколение»,  утвержденная постановлением администрации муниципального образования «Усть-Илимский район» от 28.12.2018 № 474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88,7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культуры»,  утвержденная постановлением администрации муниципального образования «Усть-Илимский район» от 28.12.2018 № 489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дорожного хозяйства на территории Тубинского муниципального образования на 2015-2026 годы»,  утвержденная постановлением администрации Тубинского муниципального образования от 05.11.2014 № 133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культуры»,  утвержденная постановлением администрации Железнодорожного муниципального образования от 15.11.2023 № 256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жилищно-коммунального хозяйства и повышение энергоэффективности Железнодорожного муниципального образования»,  утвержденная постановлением администрации Железнодорожного муниципального образования от 30.11.2018 № 287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«Муниципальная собственность муниципального образования «Усть-Илимский район»,  утвержденная постановлением администрации муниципального образования «Усть-Илимский район» от 21.12.2022 № 623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83,7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«Совершенствование муниципального управления Администрации муниципальном образовании «Усть-Илимский район»,  утвержденная постановлением администрации муниципального образования «Усть-Илимский район» от29.12.2018 № 491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«Модернизация объектов коммунальной инфраструктуры муниципального образования «Усть-Илимский район»,  утвержденная постановлением администрации муниципального образования «Усть-Илимский район» от 28.12.2018 № 471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«Комплексное развитие транспортной инфраструктуры на территории Ершовского муниципального образования»,  утвержденная решением Думы Ершовского муниципального образования четвертого созыва от 23.07.2018 № 7/1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«Доступная среда для инвалидов и других маломобильных групп населения»,  утвержденная постановлением администрации муниципального образования «Усть-Илимский район» от 28.12.2018 № 475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«Организация культурно-досугового обслуживания, развитие физичекой культуры и спорта, автоматизация библиотечного обслуживания населения на 2017-2026 годы»,  утвержденная постановлением администрации Тубинского муниципального образования от 05.11.2014 № 137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«Поддержка приоритетных отраслей экономики муниципального образования «Усть-Илимский район»,  утвержденная постановлением администрации муниципального образования «Усть-Илимский район» от 28.12.2018 № 472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«Поддержка народного творчества, организация библиотечного обслуживания и развитие физической культуры и спорта»,  утвержденная постановлением администрации Ершовского муниципального образования от 18.11.2019 № 37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Выше среднего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«Безопасность»,  утвержденная постановлением администрации муниципального образования «Усть-Илимский район» от 28.12.2018 № 467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Ниже среднего</w:t>
            </w:r>
          </w:p>
        </w:tc>
      </w:tr>
      <w:tr>
        <w:trPr/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«Об энергосбережении и повышении энергетической эффективности на территории муниципального образования «Усть-Илимский район», утвержденная постановлением администрации муниципального образования «Усть-Илимский район» от 28.12.2018 № 469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Ниже среднего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21 муниципальная программа, не вошедшая в интегральную оценку из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за отсутствия целевых показателей, может быть оценена только по уровню финансового исполнения, который составил 88,9%. Оценка финансового исполнения представлена в таблице 2.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</w:rPr>
        <w:t>Таблица 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9"/>
        <w:gridCol w:w="6949"/>
        <w:gridCol w:w="2233"/>
      </w:tblGrid>
      <w:tr>
        <w:trPr>
          <w:trHeight w:val="818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Оценка финансового исполнения, %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значение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88,9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«Пожарная безопасность,  защита населения</w:t>
            </w:r>
          </w:p>
          <w:p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территории Тубинского муниципального образования</w:t>
            </w:r>
          </w:p>
          <w:p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чрезвычайных ситуаций на 2015-2026 годы», утвержденная постановлением администрации Тубинского муниципального образования от 05.11.2014 № 134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«Благоустройство на территории Бадарминского муниципального образования на 2024-2026 годы», утвержденная постановлением администрации Бадарминского муниципального образования от 14.11.2023 № 90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«Обеспечение первичных мер пожарной безопасности и защиты населения от чрезвычайных ситуаций на территории Бадарминского муниципального образования на 2024-2026 годы», утвержденная постановлением администрации Бадарминского муниципального образования от 12.03.2024 № 19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«Обеспечение пожарной безопасности на территории Подъеланского муниципального образования на 2024-2028 годы», утвержденная постановлением администрации Подъеланского муниципального образования от 08.09.2023 № 69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«Благоустройство территории Подъеланского муниципального образования»,  утвержденная Постановлением администрации подъеланского муниципального образования от 27.12.2018 № 58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физической культуры и спорта, формирование здорового образа жизни населения», утвержденная постановлением администрации Седановского муниципального образования от 30.11.2018 № 91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«Пожарная безопасность и защита населения и территории Седановского муниципального образования от чрезвычайных ситуаций»,  утвержденная постановлением администрации Седановского муниципального образования от 16.11.2017 № 56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«Благоустройство территории Седановского муниципального образования»,  утвержденная постановлением администрации Седановского муниципального образования от 20.10.2014 № 88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«Обеспечение охраны жизни и здоровья людей на водных объектах на территории Эдучанского муниципального образования на 2020-2025 годы», утвержденная постановлением администрации Эдучанского муниципального образования от 21.10.2019 № 34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«Обеспечение мер пожарной безопасности Невонского муниципального образования на 2019-2025 годы»,  утвержденная постановлением администрации Невонского муниципального образования от 18.12.2018 № 140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муниципального управления Невонского муниципального образования на 2019-2025 годы», утвержденная постановлением администрации Невонского муниципального образования от 18.12.2018 № 140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98,7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«Культура Седановского муниципального образования»,  утвержденная постановлением администрации Седановского муниципального образования от 20.10.2014 № 86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tabs>
                <w:tab w:val="clear" w:pos="709"/>
                <w:tab w:val="left" w:pos="851" w:leader="none"/>
              </w:tabs>
              <w:ind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«Обеспечение безопасности дорожного движения и на территории Невонского муниципального образования на 2019-2025 годы»,  утвержденная постановлением администрации Невонского муниципального образования от 18.12.2018 № 140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97,5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«Культура Подъеланского муниципального образования»,  утвержденная постановлением администрации Подъеланского муниципального образования от 30.10.2014 № 91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96,9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tabs>
                <w:tab w:val="clear" w:pos="709"/>
                <w:tab w:val="left" w:pos="851" w:leader="none"/>
              </w:tabs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«Сохранение и развитие культуры села на территории Невонского муниципального образования на 2019-2025 годы», утвержденная постановлением администрации Невонского муниципального образования от 18.12.2018 № 140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96,6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«Программа комплексного развития транспортной инфраструктуры на территории Бадарминского муниципального образования на 2018-2026 годы», утвержденная решением Думы Бадарминского муниципального образования четвертого созыва от 06.09.2018 № 6/2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tabs>
                <w:tab w:val="clear" w:pos="709"/>
                <w:tab w:val="left" w:pos="851" w:leader="none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«Благоустройство территории на 2019-2025 годы», утвержденная постановлением администрации Невонского муниципального образования от 18.12.2018 № 140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87,7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дорожного хозяйства на территории Седановского муниципального образования»,  утвержденная постановлением администрации Седановского муниципального образования от 20.10.2014 № 85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82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«Программа комплексного развития транспортной инфраструктуры Эдучанского муниципального образования на 2020-2025 годы»,  утвержденная решением Думы Эдучанского муниципального образования четвертого созыва от 15.11.2019 № 19/8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51,4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«Развитие дорожного хозяйства на территории Подъеланского муниципального образования»,  утвержденная постановлением администрации Подъеланского муниципального образования от 27.12.2018 № 59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42,3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tabs>
                <w:tab w:val="clear" w:pos="709"/>
                <w:tab w:val="left" w:pos="851" w:leader="none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«Физическое воспитание детей, подростков и молодежи на 2019-2025 годы», утвержденная решением Думы Эдучанского муниципального образования четвертого созыва от 15.11.2019 № 19/8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26,8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pacing w:val="-4"/>
        </w:rPr>
        <w:t xml:space="preserve">Данные, приведенные в таблице 2, показывают, что </w:t>
      </w:r>
      <w:r>
        <w:rPr>
          <w:rFonts w:cs="Times New Roman" w:ascii="Times New Roman" w:hAnsi="Times New Roman"/>
        </w:rPr>
        <w:t>финансовое исполнение ниже 50 % зафиксировано по двум муниципальным программам, а именно: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невысокий уровень исполнения предусмотренного объема финансирования  по муниципальной программе «Физическое воспитание детей, подростков и молодежи Невонского муниципального образования», утвержденной постановлением администрации Невонского муниципального образования от 18.12.2018 № 140, связан с тем, фактические расходы составили лишь 13,4 тыс. руб. (26,8 % от плана). При этом все запланированные  мероприятия реализованы в полном объёме.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по муниципальной программе «Развитие дорожного хозяйства на территории Подъеланского муниципального образования»  исполнение бюджета составило 42,3 %, т. к.  выполнение запланированных мероприятий,  в планируемом объёме не потребовалось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финансирование направлялось исключительно на те работы, которые были объективно необходимы в данном отчётном периоде: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</w:rPr>
        <w:t>1. По мероприятию «Содержание дорог» было запланировано 97,6 тыс. рублей, исполнение по фактической потребности составило 35,5 тыс. руб.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2. По мероприятию «Освещение автомобильных дорог» запланировано 120,8 тыс. руб., а по фактической потребности израсходовано 107,7 тыс. руб.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  <w:b/>
          <w:bCs/>
          <w:color w:val="000000"/>
        </w:rPr>
        <w:t>11</w:t>
      </w:r>
      <w:r>
        <w:rPr>
          <w:rFonts w:cs="Times New Roman" w:ascii="Times New Roman" w:hAnsi="Times New Roman"/>
          <w:color w:val="000000"/>
        </w:rPr>
        <w:t xml:space="preserve"> муниципальных программ Усть-Илимского муниципального округа </w:t>
      </w:r>
      <w:r>
        <w:rPr>
          <w:rFonts w:cs="Times New Roman" w:ascii="Times New Roman" w:hAnsi="Times New Roman"/>
        </w:rPr>
        <w:t>в которых не предусматривалось финансирование: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ab/>
        <w:t>1. «Территория активных граждан», утвержденная постановлением администрации муниципального образования «Усть-Илимский район» от 29.12.2018 № 490;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2. «Энергосбережение и повышение энергетической эффективности на территории Тубинского муниципального образования на 2016-2026 годы», утвержденная постановлением администрации Тубинского муниципального образования от 25.11.2015 № 117;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3. </w:t>
      </w:r>
      <w:r>
        <w:rPr>
          <w:rFonts w:cs="Times New Roman" w:ascii="Times New Roman" w:hAnsi="Times New Roman"/>
          <w:color w:val="000000"/>
        </w:rPr>
        <w:t>«Формирование комфортной городской среды Тубинского муниципального образования на 2018-2026 годы»,  утвержденная постановлением администрации Тубинского муниципального образования от 24.01.2018 № 13;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ab/>
        <w:t>4. «Благоустройство территории Тубинского муниципального образования в 2015-2026 годах»,  утвержденная постановлением администрации Тубинского муниципального образования от 30.10.2014 № 131;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ab/>
        <w:t xml:space="preserve">5. </w:t>
      </w:r>
      <w:r>
        <w:rPr>
          <w:rFonts w:cs="Times New Roman" w:ascii="Times New Roman" w:hAnsi="Times New Roman"/>
          <w:color w:val="000000"/>
          <w:spacing w:val="-1"/>
        </w:rPr>
        <w:t>«Энергосбережение и повышение энергетической эффективности на территории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>Бадарминского муниципального образования на 2023-2025 годы», утвержденная постановлением администрации Бадарминского муниципального образования от 18.01.2023 № 8;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Cs/>
          <w:spacing w:val="-1"/>
        </w:rPr>
        <w:tab/>
        <w:t>6. Энергосбережение и повышение энергетической эффективности на территории</w:t>
      </w:r>
    </w:p>
    <w:p>
      <w:pPr>
        <w:pStyle w:val="Normal"/>
        <w:shd w:val="clear" w:color="auto" w:fill="FFFFFF"/>
        <w:spacing w:lineRule="exact" w:line="274"/>
        <w:ind w:right="5"/>
        <w:jc w:val="both"/>
        <w:rPr/>
      </w:pPr>
      <w:r>
        <w:rPr>
          <w:rFonts w:cs="Times New Roman" w:ascii="Times New Roman" w:hAnsi="Times New Roman"/>
          <w:bCs/>
          <w:color w:val="000000"/>
        </w:rPr>
        <w:t>Седановского муниципального образования»,  утвержденная постановлением администрации Седановского муниципального образования от 27.11.2018 № 88;</w:t>
      </w:r>
    </w:p>
    <w:p>
      <w:pPr>
        <w:pStyle w:val="Normal"/>
        <w:shd w:val="clear" w:color="auto" w:fill="FFFFFF"/>
        <w:spacing w:lineRule="exact" w:line="274"/>
        <w:ind w:right="5"/>
        <w:jc w:val="both"/>
        <w:rPr/>
      </w:pPr>
      <w:r>
        <w:rPr>
          <w:rFonts w:cs="Times New Roman" w:ascii="Times New Roman" w:hAnsi="Times New Roman"/>
          <w:bCs/>
          <w:color w:val="000000"/>
        </w:rPr>
        <w:tab/>
        <w:t xml:space="preserve">7. </w:t>
      </w:r>
      <w:r>
        <w:rPr>
          <w:rFonts w:cs="Times New Roman" w:ascii="Times New Roman" w:hAnsi="Times New Roman"/>
          <w:bCs/>
          <w:color w:val="000000"/>
          <w:spacing w:val="-4"/>
        </w:rPr>
        <w:t>«Формирование комфортной городской среды на территории Седановского муниципального образования»,  утвержденная постановлением администрации Седановского муниципального образования от 21.02.2018 № 12;</w:t>
      </w:r>
    </w:p>
    <w:p>
      <w:pPr>
        <w:pStyle w:val="Normal"/>
        <w:shd w:val="clear" w:color="auto" w:fill="FFFFFF"/>
        <w:spacing w:lineRule="exact" w:line="274"/>
        <w:ind w:right="5"/>
        <w:jc w:val="both"/>
        <w:rPr/>
      </w:pPr>
      <w:r>
        <w:rPr>
          <w:rFonts w:cs="Times New Roman" w:ascii="Times New Roman" w:hAnsi="Times New Roman"/>
          <w:bCs/>
          <w:color w:val="000000"/>
          <w:spacing w:val="-4"/>
        </w:rPr>
        <w:tab/>
        <w:t xml:space="preserve">8. </w:t>
      </w:r>
      <w:r>
        <w:rPr>
          <w:rFonts w:cs="Times New Roman" w:ascii="Times New Roman" w:hAnsi="Times New Roman"/>
          <w:bCs/>
          <w:color w:val="000000"/>
          <w:spacing w:val="-3"/>
          <w:shd w:fill="auto" w:val="clear"/>
        </w:rPr>
        <w:t>«Профилактика   наркомании и токсикомании на территории Седановского муниципального образования»,  утвержденная постановлением администрации Седановского муниципального образования от 26.11.2015 № 74;</w:t>
      </w:r>
    </w:p>
    <w:p>
      <w:pPr>
        <w:pStyle w:val="Normal"/>
        <w:shd w:val="clear" w:color="auto" w:fill="FFFFFF"/>
        <w:spacing w:lineRule="exact" w:line="274"/>
        <w:ind w:right="5"/>
        <w:jc w:val="both"/>
        <w:rPr/>
      </w:pPr>
      <w:r>
        <w:rPr>
          <w:rFonts w:cs="Times New Roman" w:ascii="Times New Roman" w:hAnsi="Times New Roman"/>
          <w:bCs/>
          <w:color w:val="000000"/>
          <w:spacing w:val="-3"/>
        </w:rPr>
        <w:tab/>
        <w:t>9. «Профилактика наркомании и токсикомании на территории Эдучанского муниципального образования на 2020</w:t>
      </w:r>
      <w:r>
        <w:rPr>
          <w:rFonts w:cs="Times New Roman" w:ascii="Times New Roman" w:hAnsi="Times New Roman"/>
          <w:b/>
          <w:bCs/>
          <w:color w:val="000000"/>
          <w:spacing w:val="-3"/>
        </w:rPr>
        <w:t>-</w:t>
      </w:r>
      <w:r>
        <w:rPr>
          <w:rFonts w:cs="Times New Roman" w:ascii="Times New Roman" w:hAnsi="Times New Roman"/>
          <w:bCs/>
          <w:color w:val="000000"/>
          <w:spacing w:val="-3"/>
        </w:rPr>
        <w:t>2025 гг.»,  утвержденная постановлением администрации Эдучанского муниципального образования от 21.10.2019 № 35;</w:t>
      </w:r>
    </w:p>
    <w:p>
      <w:pPr>
        <w:pStyle w:val="Normal"/>
        <w:shd w:val="clear" w:color="auto" w:fill="FFFFFF"/>
        <w:spacing w:lineRule="exact" w:line="274"/>
        <w:ind w:right="5"/>
        <w:jc w:val="both"/>
        <w:rPr/>
      </w:pPr>
      <w:r>
        <w:rPr>
          <w:rFonts w:cs="Times New Roman" w:ascii="Times New Roman" w:hAnsi="Times New Roman"/>
          <w:bCs/>
          <w:color w:val="000000"/>
          <w:spacing w:val="-3"/>
        </w:rPr>
        <w:tab/>
        <w:t>10. «Благоустройство территории Эдучанского муниципального образования на 2020</w:t>
      </w:r>
      <w:r>
        <w:rPr>
          <w:rFonts w:cs="Times New Roman" w:ascii="Times New Roman" w:hAnsi="Times New Roman"/>
          <w:b/>
          <w:bCs/>
          <w:color w:val="000000"/>
          <w:spacing w:val="-3"/>
        </w:rPr>
        <w:t>-</w:t>
      </w:r>
      <w:r>
        <w:rPr>
          <w:rFonts w:cs="Times New Roman" w:ascii="Times New Roman" w:hAnsi="Times New Roman"/>
          <w:bCs/>
          <w:color w:val="000000"/>
          <w:spacing w:val="-3"/>
        </w:rPr>
        <w:t>2025 годы»,  утвержденная постановлением администрации Эдучанского муниципального образования от 21.10.2019 № 32;</w:t>
      </w:r>
    </w:p>
    <w:p>
      <w:pPr>
        <w:pStyle w:val="Normal"/>
        <w:shd w:val="clear" w:color="auto" w:fill="FFFFFF"/>
        <w:spacing w:lineRule="exact" w:line="274"/>
        <w:ind w:right="5"/>
        <w:rPr/>
      </w:pPr>
      <w:r>
        <w:rPr>
          <w:rFonts w:cs="Times New Roman" w:ascii="Times New Roman" w:hAnsi="Times New Roman"/>
          <w:bCs/>
          <w:color w:val="000000"/>
          <w:spacing w:val="-3"/>
        </w:rPr>
        <w:tab/>
        <w:t xml:space="preserve">11. </w:t>
      </w:r>
      <w:r>
        <w:rPr>
          <w:rFonts w:cs="Times New Roman" w:ascii="Times New Roman" w:hAnsi="Times New Roman"/>
        </w:rPr>
        <w:t>«Пожарная безопасность и защита населения и территории сельского поселения от чрезвычайных ситуаций на 2020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>2025 годы», утвержденная постановлением администрации Эдучанского муниципального образования от 29.10.2019 № 33.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color w:val="000000"/>
        </w:rPr>
        <w:tab/>
      </w:r>
      <w:r>
        <w:rPr>
          <w:rFonts w:cs="Times New Roman" w:ascii="Times New Roman" w:hAnsi="Times New Roman"/>
          <w:color w:val="000000"/>
        </w:rPr>
        <w:t>Достижение целевых показателей вышеуказанных муниципальных программ было невозможным. З</w:t>
      </w:r>
      <w:r>
        <w:rPr>
          <w:rStyle w:val="Strong"/>
          <w:rFonts w:cs="Times New Roman" w:ascii="Times New Roman" w:hAnsi="Times New Roman"/>
          <w:b w:val="false"/>
          <w:bCs w:val="false"/>
        </w:rPr>
        <w:t>а исключением</w:t>
      </w:r>
      <w:r>
        <w:rPr>
          <w:rStyle w:val="Strong"/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программы «Территория активных граждан», где было выполнено 6 из 7 целевых показателей (85,7 %) </w:t>
      </w:r>
      <w:r>
        <w:rPr>
          <w:rStyle w:val="Strong"/>
          <w:rFonts w:cs="Times New Roman" w:ascii="Times New Roman" w:hAnsi="Times New Roman"/>
          <w:b w:val="false"/>
          <w:bCs w:val="false"/>
        </w:rPr>
        <w:t>за счёт</w:t>
      </w:r>
      <w:r>
        <w:rPr>
          <w:rStyle w:val="Strong"/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проведения мероприятий, не требующих финансирования.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Сведения об использовании бюджетных ассигнований на реализацию муниципальных программ Усть-Илимского муниципального округа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</w:rPr>
        <w:t>За счет всех источников финансирования на конец 2024 года на реализацию муниципальных программ было предусмотрено 1 534 298,9 тыс. руб., в том числе за счет: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федерального бюджета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39 301,1 тыс. руб.;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областного бюджета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808 605,5 тыс. руб.;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местных бюджетов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573 311,4 тыс. руб.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внебюджетных источников - 13 840,7 тыс. руб.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Исполнение муниципальных программ составило 1 434 847,7 тыс. руб. или 93,5 % от плана, в том числе за счет средств: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федерального бюджета – 39 0090,1 тыс. руб. (99,5 %);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областного бюджета – 808 605,5 тыс. руб. (98,7%);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местного бюджета – 573 311,4 тыс. руб. (87,0 %);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внебюджета – 83,9 тыс. руб. (83,9 %).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Общий неиспользованный остаток средств  по итогам 2024 года составил 99 541,2 тысяч рублей (6,5%).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Наибольшую долю в объеме всех неиспользованных бюджетных средств занимают средства местного бюджета (13 %), так же 16 % средств не использованно из внебюджетного фонда.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Выводы и рекомендации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FF0000"/>
        </w:rPr>
        <w:tab/>
      </w:r>
      <w:r>
        <w:rPr>
          <w:rFonts w:cs="Times New Roman" w:ascii="Times New Roman" w:hAnsi="Times New Roman"/>
        </w:rPr>
        <w:t xml:space="preserve">По итогам оценки эффективности муниципальных программ можно выделить следующие положительные стороны исполнения муниципальных программ: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 xml:space="preserve">средняя интегральная оценка эффективности муниципальных программ составила высокий показатель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84,7%;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>большинство муниципальных программ демонстрируют высокую эффективность («высокая эффективность») или превышают средние значения («выше среднего»);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>уровень достижения целевых показателей достиг 79,2%, что соответствует высокому уровню исполнения планируемых мероприятий;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 xml:space="preserve">общий уровень исполнения бюджета составил удовлетворительный показатель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93,5%, демонстрируя хорошую управляемость бюджетными средствами.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>Среди негативных аспектов выделяются: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cs="Times New Roman" w:ascii="Times New Roman" w:hAnsi="Times New Roman"/>
        </w:rPr>
        <w:tab/>
        <w:t xml:space="preserve">неиспользованные остатки средств составили значительную сумму 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 около 99 млн. рублей;</w:t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</w:rPr>
        <w:tab/>
        <w:t>недостаточный уровень планирования отдельных показателей привел к невыполнению ряда целевых показателей.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/>
      </w:pPr>
      <w:r>
        <w:rPr>
          <w:rFonts w:eastAsia="Times New Roman" w:cs="Times New Roman" w:ascii="Times New Roman" w:hAnsi="Times New Roman"/>
          <w:spacing w:val="-4"/>
          <w:kern w:val="0"/>
          <w:sz w:val="18"/>
          <w:lang w:eastAsia="ru-RU" w:bidi="ar-SA"/>
        </w:rPr>
        <w:tab/>
      </w:r>
      <w:r>
        <w:rPr>
          <w:rFonts w:cs="Times New Roman" w:ascii="Times New Roman" w:hAnsi="Times New Roman"/>
        </w:rPr>
        <w:t>Так же стоит отметить, что с 1 января 2025 года действие вышеуказанных муниципальных программ прекращено в связи с реализацией новой системы управления муниципальными программами, установленной Федеральным законом от 20.03.2025 № 33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</w:rPr>
        <w:t xml:space="preserve">ФЗ и утверждением Постановления Администрации Усть-Илимского муниципального округа «О порядке принятия решений о разработке муниципальных программ Усть-Илимского муниципального округа и их формирования и реализации» от 09.12.2024 № 100-А. Так на сегодняшний день разработано и утверждено 15 муниципальных программ, в которых учтены выводы и рекомендации исполнения муниципальных программ прошлых отчетных периодов. 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991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488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2" w:customStyle="1">
    <w:name w:val="Heading 2"/>
    <w:basedOn w:val="Normal"/>
    <w:link w:val="2"/>
    <w:uiPriority w:val="9"/>
    <w:qFormat/>
    <w:rsid w:val="002a2dbe"/>
    <w:pPr>
      <w:suppressAutoHyphens w:val="false"/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ru-RU" w:bidi="ar-SA"/>
    </w:rPr>
  </w:style>
  <w:style w:type="paragraph" w:styleId="Heading3" w:customStyle="1">
    <w:name w:val="Heading 3"/>
    <w:basedOn w:val="Normal"/>
    <w:link w:val="3"/>
    <w:uiPriority w:val="9"/>
    <w:qFormat/>
    <w:rsid w:val="002a2dbe"/>
    <w:pPr>
      <w:suppressAutoHyphens w:val="false"/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ae4885"/>
    <w:rPr/>
  </w:style>
  <w:style w:type="character" w:styleId="Strong">
    <w:name w:val="Strong"/>
    <w:qFormat/>
    <w:rsid w:val="00af32be"/>
    <w:rPr>
      <w:b/>
      <w:bCs/>
    </w:rPr>
  </w:style>
  <w:style w:type="character" w:styleId="2" w:customStyle="1">
    <w:name w:val="Заголовок 2 Знак"/>
    <w:basedOn w:val="DefaultParagraphFont"/>
    <w:uiPriority w:val="9"/>
    <w:qFormat/>
    <w:rsid w:val="002a2dbe"/>
    <w:rPr>
      <w:rFonts w:ascii="Times New Roman" w:hAnsi="Times New Roman" w:eastAsia="Times New Roman" w:cs="Times New Roman"/>
      <w:b/>
      <w:bCs/>
      <w:kern w:val="0"/>
      <w:sz w:val="36"/>
      <w:szCs w:val="36"/>
      <w:lang w:eastAsia="ru-RU" w:bidi="ar-SA"/>
    </w:rPr>
  </w:style>
  <w:style w:type="character" w:styleId="3" w:customStyle="1">
    <w:name w:val="Заголовок 3 Знак"/>
    <w:basedOn w:val="DefaultParagraphFont"/>
    <w:uiPriority w:val="9"/>
    <w:qFormat/>
    <w:rsid w:val="002a2dbe"/>
    <w:rPr>
      <w:rFonts w:ascii="Times New Roman" w:hAnsi="Times New Roman" w:eastAsia="Times New Roman" w:cs="Times New Roman"/>
      <w:b/>
      <w:bCs/>
      <w:kern w:val="0"/>
      <w:sz w:val="27"/>
      <w:szCs w:val="27"/>
      <w:lang w:eastAsia="ru-RU" w:bidi="ar-SA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2a2dbe"/>
    <w:rPr>
      <w:rFonts w:ascii="Courier New" w:hAnsi="Courier New" w:eastAsia="Times New Roman" w:cs="Courier New"/>
      <w:kern w:val="0"/>
      <w:sz w:val="20"/>
      <w:szCs w:val="20"/>
      <w:lang w:eastAsia="ru-RU" w:bidi="ar-SA"/>
    </w:rPr>
  </w:style>
  <w:style w:type="character" w:styleId="Sc-itonen" w:customStyle="1">
    <w:name w:val="sc-itonen"/>
    <w:basedOn w:val="DefaultParagraphFont"/>
    <w:qFormat/>
    <w:rsid w:val="002a2dbe"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 w:customStyle="1">
    <w:name w:val="Заголовок"/>
    <w:basedOn w:val="Normal"/>
    <w:next w:val="BodyText"/>
    <w:qFormat/>
    <w:rsid w:val="00ae4885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rsid w:val="00ae4885"/>
    <w:pPr>
      <w:spacing w:lineRule="auto" w:line="276" w:before="0" w:after="140"/>
    </w:pPr>
    <w:rPr/>
  </w:style>
  <w:style w:type="paragraph" w:styleId="List">
    <w:name w:val="List"/>
    <w:basedOn w:val="BodyText"/>
    <w:rsid w:val="00ae4885"/>
    <w:pPr/>
    <w:rPr/>
  </w:style>
  <w:style w:type="paragraph" w:styleId="Caption" w:customStyle="1">
    <w:name w:val="Caption"/>
    <w:basedOn w:val="Normal"/>
    <w:qFormat/>
    <w:rsid w:val="00ae4885"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ae4885"/>
    <w:pPr>
      <w:suppressLineNumbers/>
    </w:pPr>
    <w:rPr/>
  </w:style>
  <w:style w:type="paragraph" w:styleId="Style16" w:customStyle="1">
    <w:name w:val="Содержимое таблицы"/>
    <w:basedOn w:val="Normal"/>
    <w:qFormat/>
    <w:rsid w:val="00ae4885"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rsid w:val="00ae4885"/>
    <w:pPr>
      <w:jc w:val="center"/>
    </w:pPr>
    <w:rPr>
      <w:b/>
      <w:bCs/>
    </w:rPr>
  </w:style>
  <w:style w:type="paragraph" w:styleId="ConsPlusDocList" w:customStyle="1">
    <w:name w:val="ConsPlusDocList"/>
    <w:next w:val="Normal"/>
    <w:qFormat/>
    <w:rsid w:val="0025655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2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rsid w:val="0025655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000000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rsid w:val="00af32be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FF0000"/>
      <w:kern w:val="2"/>
      <w:sz w:val="28"/>
      <w:szCs w:val="24"/>
      <w:lang w:val="ru-RU" w:eastAsia="ru-RU" w:bidi="hi-IN"/>
    </w:rPr>
  </w:style>
  <w:style w:type="paragraph" w:styleId="Default" w:customStyle="1">
    <w:name w:val="Default"/>
    <w:qFormat/>
    <w:rsid w:val="00af32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2"/>
      <w:sz w:val="24"/>
      <w:szCs w:val="24"/>
      <w:lang w:val="ru-RU" w:eastAsia="zh-CN" w:bidi="hi-IN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2a2db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ru-RU" w:bidi="ar-SA"/>
    </w:rPr>
  </w:style>
  <w:style w:type="paragraph" w:styleId="Sc-httwuo" w:customStyle="1">
    <w:name w:val="sc-httwuo"/>
    <w:basedOn w:val="Normal"/>
    <w:qFormat/>
    <w:rsid w:val="002a2db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NormalWeb">
    <w:name w:val="Normal (Web)"/>
    <w:basedOn w:val="Normal"/>
    <w:qFormat/>
    <w:rsid w:val="00b25b5c"/>
    <w:pPr>
      <w:spacing w:before="100" w:after="100"/>
    </w:pPr>
    <w:rPr>
      <w:rFonts w:ascii="Times New Roman" w:hAnsi="Times New Roman"/>
    </w:rPr>
  </w:style>
  <w:style w:type="paragraph" w:styleId="ConsPlusNormal" w:customStyle="1">
    <w:name w:val="ConsPlusNormal"/>
    <w:qFormat/>
    <w:rsid w:val="00b25b5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4"/>
      <w:lang w:val="en-US" w:eastAsia="zh-CN" w:bidi="hi-IN"/>
    </w:rPr>
  </w:style>
  <w:style w:type="paragraph" w:styleId="ConsPlusDocList1" w:customStyle="1">
    <w:name w:val="  ConsPlusDocList"/>
    <w:next w:val="Normal"/>
    <w:qFormat/>
    <w:rsid w:val="0077409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2"/>
      <w:sz w:val="20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Application>LibreOffice/7.6.0.2$Windows_X86_64 LibreOffice_project/41d6f628ba3f046f16b5fa9fa8db8d4c2ab3b582</Application>
  <AppVersion>15.0000</AppVersion>
  <Pages>9</Pages>
  <Words>2601</Words>
  <Characters>20333</Characters>
  <CharactersWithSpaces>22765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2023-11-20T07:36:00Z</dcterms:created>
  <dc:creator/>
  <dc:description/>
  <dc:language>ru-RU</dc:language>
  <cp:lastModifiedBy/>
  <cp:lastPrinted>2025-12-24T12:12:16Z</cp:lastPrinted>
  <dcterms:modified xsi:type="dcterms:W3CDTF">2025-12-29T14:22:22Z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