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6" w:rsidRPr="00605BD6" w:rsidRDefault="00792E96" w:rsidP="00792E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E96" w:rsidRPr="00605BD6" w:rsidRDefault="00792E96" w:rsidP="00792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792E96" w:rsidRPr="00605BD6" w:rsidRDefault="00792E96" w:rsidP="00792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792E96" w:rsidRPr="00605BD6" w:rsidRDefault="00792E96" w:rsidP="00792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792E96" w:rsidRPr="00605BD6" w:rsidRDefault="00792E96" w:rsidP="00792E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 Д М И Н И С Т </w:t>
      </w:r>
      <w:proofErr w:type="gramStart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 Ц И Я</w:t>
      </w:r>
    </w:p>
    <w:p w:rsidR="00792E96" w:rsidRPr="00605BD6" w:rsidRDefault="00792E96" w:rsidP="00792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3190"/>
        <w:gridCol w:w="1386"/>
        <w:gridCol w:w="1804"/>
        <w:gridCol w:w="3191"/>
      </w:tblGrid>
      <w:tr w:rsidR="00792E96" w:rsidRPr="00605BD6" w:rsidTr="00036FDB">
        <w:tc>
          <w:tcPr>
            <w:tcW w:w="3190" w:type="dxa"/>
            <w:shd w:val="clear" w:color="auto" w:fill="auto"/>
          </w:tcPr>
          <w:p w:rsidR="00792E96" w:rsidRPr="009B7CF4" w:rsidRDefault="00792E96" w:rsidP="00792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92E96" w:rsidRPr="009B7CF4" w:rsidRDefault="00792E96" w:rsidP="00036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  <w:shd w:val="clear" w:color="auto" w:fill="auto"/>
          </w:tcPr>
          <w:p w:rsidR="00792E96" w:rsidRPr="009B7CF4" w:rsidRDefault="00792E96" w:rsidP="00792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792E96" w:rsidRPr="00605BD6" w:rsidTr="00036FDB">
        <w:tc>
          <w:tcPr>
            <w:tcW w:w="3190" w:type="dxa"/>
            <w:shd w:val="clear" w:color="auto" w:fill="auto"/>
          </w:tcPr>
          <w:p w:rsidR="00792E96" w:rsidRPr="00605BD6" w:rsidRDefault="00792E96" w:rsidP="00036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92E96" w:rsidRPr="00605BD6" w:rsidRDefault="00792E96" w:rsidP="00036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D6">
              <w:rPr>
                <w:rFonts w:ascii="Times New Roman" w:hAnsi="Times New Roman" w:cs="Times New Roman"/>
                <w:sz w:val="28"/>
                <w:szCs w:val="28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792E96" w:rsidRPr="00605BD6" w:rsidRDefault="00792E96" w:rsidP="00036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96" w:rsidRPr="00605BD6" w:rsidTr="00036FDB">
        <w:trPr>
          <w:gridAfter w:val="2"/>
          <w:wAfter w:w="4995" w:type="dxa"/>
          <w:trHeight w:val="327"/>
        </w:trPr>
        <w:tc>
          <w:tcPr>
            <w:tcW w:w="4576" w:type="dxa"/>
            <w:gridSpan w:val="2"/>
            <w:shd w:val="clear" w:color="auto" w:fill="auto"/>
          </w:tcPr>
          <w:p w:rsidR="00792E96" w:rsidRPr="00652FD8" w:rsidRDefault="00792E96" w:rsidP="00036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FD8">
              <w:rPr>
                <w:rFonts w:ascii="Times New Roman" w:eastAsia="MS Mincho" w:hAnsi="Times New Roman" w:cs="Times New Roman"/>
                <w:b/>
                <w:noProof/>
              </w:rPr>
              <w:t>О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 xml:space="preserve"> внесении изменений</w:t>
            </w:r>
          </w:p>
        </w:tc>
      </w:tr>
    </w:tbl>
    <w:p w:rsidR="00792E96" w:rsidRDefault="00792E96" w:rsidP="00792E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96" w:rsidRDefault="00792E96" w:rsidP="00C92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88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РФ»,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22D0">
        <w:rPr>
          <w:rFonts w:ascii="Times New Roman" w:hAnsi="Times New Roman" w:cs="Times New Roman"/>
          <w:sz w:val="24"/>
          <w:szCs w:val="24"/>
        </w:rPr>
        <w:t xml:space="preserve"> Указом Губернатора Иркутской области от 26.07.2022 N 154-уг "О предоставлении дополнительной меры социальной поддержки в виде единовременной денежной выплаты гражданам, проживающим на</w:t>
      </w:r>
      <w:proofErr w:type="gramEnd"/>
      <w:r w:rsidR="00C922D0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области, </w:t>
      </w:r>
      <w:proofErr w:type="gramStart"/>
      <w:r w:rsidR="00C922D0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="00C922D0">
        <w:rPr>
          <w:rFonts w:ascii="Times New Roman" w:hAnsi="Times New Roman" w:cs="Times New Roman"/>
          <w:sz w:val="24"/>
          <w:szCs w:val="24"/>
        </w:rPr>
        <w:t xml:space="preserve"> через военный комиссариат Иркутской области (пункт отбора граждан на военную службу по контракту Иркутской области) для прохождения военной службы в частях Министерства обороны Российской Федерации, выполняющих задачи на территориях Донецкой Народной Республики, Луганской Народной Республики и Украины",</w:t>
      </w:r>
      <w:r>
        <w:rPr>
          <w:rFonts w:ascii="Times New Roman" w:hAnsi="Times New Roman" w:cs="Times New Roman"/>
          <w:sz w:val="24"/>
          <w:szCs w:val="24"/>
        </w:rPr>
        <w:t xml:space="preserve"> статьями 39,55 Устава муниципального образования Киренский район, </w:t>
      </w:r>
    </w:p>
    <w:p w:rsidR="00792E96" w:rsidRPr="00B12B78" w:rsidRDefault="00792E96" w:rsidP="00792E9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ПОСТАНОВЛЯЕТ:</w:t>
      </w:r>
    </w:p>
    <w:p w:rsidR="00792E96" w:rsidRDefault="00792E96" w:rsidP="00792E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Киренского муниципального района от 07.11.2022 года №683 «О внесении изменений» со дня вступления в силу настоящего постановления;</w:t>
      </w:r>
    </w:p>
    <w:p w:rsidR="00792E96" w:rsidRDefault="00792E96" w:rsidP="00792E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88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приложение №1 Постановления администрации Киренского муниципального района №819 от 24.12.2021 года «Об утверждении </w:t>
      </w:r>
      <w:r w:rsidRPr="007E241D">
        <w:rPr>
          <w:rFonts w:ascii="Times New Roman" w:hAnsi="Times New Roman" w:cs="Times New Roman"/>
          <w:bCs/>
          <w:i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7E241D">
        <w:rPr>
          <w:rFonts w:ascii="Times New Roman" w:hAnsi="Times New Roman" w:cs="Times New Roman"/>
          <w:bCs/>
          <w:iCs/>
          <w:sz w:val="24"/>
          <w:szCs w:val="24"/>
        </w:rPr>
        <w:t xml:space="preserve"> взимания платы за присмотр и уход за детьми</w:t>
      </w:r>
      <w:r>
        <w:rPr>
          <w:rFonts w:ascii="Times New Roman" w:hAnsi="Times New Roman" w:cs="Times New Roman"/>
          <w:bCs/>
          <w:iCs/>
          <w:sz w:val="24"/>
          <w:szCs w:val="24"/>
        </w:rPr>
        <w:t>, осваивающими образовательные программы дошкольного образования в муниципальных образовательных учреждениях</w:t>
      </w:r>
      <w:r w:rsidRPr="007E241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E241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осуществляющих образовательную деятельность на территории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», путем дополнения табличной формы приложения строкой №4:</w:t>
      </w:r>
    </w:p>
    <w:p w:rsidR="00792E96" w:rsidRDefault="00792E96" w:rsidP="00792E9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460"/>
        <w:gridCol w:w="2979"/>
        <w:gridCol w:w="2130"/>
        <w:gridCol w:w="1687"/>
        <w:gridCol w:w="1958"/>
      </w:tblGrid>
      <w:tr w:rsidR="00792E96" w:rsidTr="00036FDB">
        <w:tc>
          <w:tcPr>
            <w:tcW w:w="460" w:type="dxa"/>
          </w:tcPr>
          <w:p w:rsidR="00792E96" w:rsidRPr="00BB0088" w:rsidRDefault="00792E96" w:rsidP="00036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9" w:type="dxa"/>
          </w:tcPr>
          <w:p w:rsidR="00792E96" w:rsidRPr="00BB0088" w:rsidRDefault="00792E96" w:rsidP="00036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2130" w:type="dxa"/>
          </w:tcPr>
          <w:p w:rsidR="00792E96" w:rsidRPr="00BB0088" w:rsidRDefault="00792E96" w:rsidP="00036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8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право на предоставление льготы</w:t>
            </w:r>
          </w:p>
        </w:tc>
        <w:tc>
          <w:tcPr>
            <w:tcW w:w="1687" w:type="dxa"/>
          </w:tcPr>
          <w:p w:rsidR="00792E96" w:rsidRPr="00BB0088" w:rsidRDefault="00792E96" w:rsidP="00036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8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льготы</w:t>
            </w:r>
          </w:p>
        </w:tc>
        <w:tc>
          <w:tcPr>
            <w:tcW w:w="1958" w:type="dxa"/>
          </w:tcPr>
          <w:p w:rsidR="00792E96" w:rsidRPr="00BB0088" w:rsidRDefault="00792E96" w:rsidP="00036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8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предоставления льготы</w:t>
            </w:r>
          </w:p>
        </w:tc>
      </w:tr>
      <w:tr w:rsidR="00792E96" w:rsidTr="00036FDB">
        <w:tc>
          <w:tcPr>
            <w:tcW w:w="460" w:type="dxa"/>
          </w:tcPr>
          <w:p w:rsidR="00792E96" w:rsidRDefault="00792E96" w:rsidP="00036F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792E96" w:rsidRDefault="00F20914" w:rsidP="00036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2E96" w:rsidRPr="00BB0088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которых призваны на частичную мобилизацию в Вооруженные Силы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0914" w:rsidRPr="00BB0088" w:rsidRDefault="00F20914" w:rsidP="00036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-Родители (законные представители) которых проходят военную службу по контракту, либо заключивших контракт  о добровольном содействии в выполнении задач, возложенных на Вооруженные силы РФ, в ходе СВО.</w:t>
            </w:r>
          </w:p>
        </w:tc>
        <w:tc>
          <w:tcPr>
            <w:tcW w:w="2130" w:type="dxa"/>
          </w:tcPr>
          <w:p w:rsidR="00792E96" w:rsidRPr="00406191" w:rsidRDefault="00792E96" w:rsidP="00036F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 xml:space="preserve">- письменное заявление от родителей (законных представителей) </w:t>
            </w:r>
          </w:p>
          <w:p w:rsidR="00792E96" w:rsidRPr="00406191" w:rsidRDefault="00792E96" w:rsidP="00036F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- паспорт</w:t>
            </w:r>
          </w:p>
          <w:p w:rsidR="00792E96" w:rsidRPr="00406191" w:rsidRDefault="00792E96" w:rsidP="00036F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- свидетельство  о рождении ребенка</w:t>
            </w:r>
          </w:p>
          <w:p w:rsidR="00792E96" w:rsidRPr="00406191" w:rsidRDefault="00792E96" w:rsidP="00036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справки с военкомата</w:t>
            </w: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914">
              <w:rPr>
                <w:rFonts w:ascii="Times New Roman" w:hAnsi="Times New Roman" w:cs="Times New Roman"/>
                <w:sz w:val="20"/>
                <w:szCs w:val="20"/>
              </w:rPr>
              <w:t>или  справку, подтверждающую, что гражданин является членом семьи гражданина, призванного на военную службу по мобилизации в Вооруженные силы РФ,</w:t>
            </w:r>
            <w:r w:rsidR="00572181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направленным через военный </w:t>
            </w:r>
            <w:r w:rsidR="004D4EED">
              <w:rPr>
                <w:rFonts w:ascii="Times New Roman" w:hAnsi="Times New Roman" w:cs="Times New Roman"/>
                <w:sz w:val="20"/>
                <w:szCs w:val="20"/>
              </w:rPr>
              <w:t>комиссариат Иркутской области (пункт отбора граждан на военную службу по контракту Иркутской области) для прохождения военной службы,</w:t>
            </w:r>
            <w:r w:rsidR="00F20914">
              <w:rPr>
                <w:rFonts w:ascii="Times New Roman" w:hAnsi="Times New Roman" w:cs="Times New Roman"/>
                <w:sz w:val="20"/>
                <w:szCs w:val="20"/>
              </w:rPr>
              <w:t xml:space="preserve"> выданную органами социальной защиты населения по месту жительства.</w:t>
            </w:r>
            <w:proofErr w:type="gramEnd"/>
          </w:p>
        </w:tc>
        <w:tc>
          <w:tcPr>
            <w:tcW w:w="1687" w:type="dxa"/>
          </w:tcPr>
          <w:p w:rsidR="00792E96" w:rsidRPr="00406191" w:rsidRDefault="00792E96" w:rsidP="00036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CA4">
              <w:rPr>
                <w:rFonts w:ascii="Times New Roman" w:hAnsi="Times New Roman" w:cs="Times New Roman"/>
                <w:sz w:val="20"/>
                <w:szCs w:val="20"/>
              </w:rPr>
              <w:t>освобождение от родительской платы</w:t>
            </w:r>
          </w:p>
        </w:tc>
        <w:tc>
          <w:tcPr>
            <w:tcW w:w="1958" w:type="dxa"/>
          </w:tcPr>
          <w:p w:rsidR="00792E96" w:rsidRPr="00406191" w:rsidRDefault="00792E96" w:rsidP="00036F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 xml:space="preserve">а период действия соответствующего основания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619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образовательного учреждения, который должен быть издан в течение 3 календарных дней от даты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дня утраты основания возникновения права на льготу</w:t>
            </w:r>
          </w:p>
        </w:tc>
      </w:tr>
    </w:tbl>
    <w:p w:rsidR="00792E96" w:rsidRDefault="00792E96" w:rsidP="00792E96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92E96" w:rsidRDefault="00792E96" w:rsidP="00792E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4D4EED">
        <w:rPr>
          <w:rFonts w:ascii="Times New Roman" w:hAnsi="Times New Roman" w:cs="Times New Roman"/>
          <w:sz w:val="24"/>
          <w:szCs w:val="24"/>
        </w:rPr>
        <w:t>, а в части 2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 свое действия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правоотношения, возникшие с 01 октября 2022 года 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размещению на сайте администрации Киренского муниципального района.</w:t>
      </w:r>
    </w:p>
    <w:p w:rsidR="00792E96" w:rsidRDefault="00792E96" w:rsidP="00792E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Киренского муниципального района.</w:t>
      </w:r>
    </w:p>
    <w:p w:rsidR="00792E96" w:rsidRDefault="00792E96" w:rsidP="00792E96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792E96" w:rsidRDefault="00792E96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792E96" w:rsidRDefault="00792E96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792E96" w:rsidRDefault="00C922D0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770FDB" w:rsidRDefault="00770FDB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DB" w:rsidRDefault="00770FDB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DB" w:rsidRDefault="00770FDB" w:rsidP="00792E96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DB" w:rsidRDefault="00770FDB" w:rsidP="0077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DB">
        <w:rPr>
          <w:rFonts w:ascii="Times New Roman" w:hAnsi="Times New Roman" w:cs="Times New Roman"/>
          <w:sz w:val="24"/>
          <w:szCs w:val="24"/>
        </w:rPr>
        <w:lastRenderedPageBreak/>
        <w:t xml:space="preserve">Исп. И.С. </w:t>
      </w:r>
      <w:proofErr w:type="spellStart"/>
      <w:r w:rsidRPr="00770FDB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Pr="00770FDB">
        <w:rPr>
          <w:rFonts w:ascii="Times New Roman" w:hAnsi="Times New Roman" w:cs="Times New Roman"/>
          <w:sz w:val="24"/>
          <w:szCs w:val="24"/>
        </w:rPr>
        <w:t xml:space="preserve"> – Начальник правового отдела администрации КМР</w:t>
      </w:r>
    </w:p>
    <w:p w:rsidR="00770FDB" w:rsidRDefault="00770FDB" w:rsidP="0077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770FDB">
        <w:rPr>
          <w:rFonts w:ascii="Times New Roman" w:hAnsi="Times New Roman" w:cs="Times New Roman"/>
          <w:sz w:val="24"/>
          <w:szCs w:val="24"/>
        </w:rPr>
        <w:t xml:space="preserve">Первый заместитель мэра муниципального района – председатель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- А.В. Воробьев</w:t>
      </w:r>
    </w:p>
    <w:p w:rsidR="00770FDB" w:rsidRPr="00770FDB" w:rsidRDefault="00770FDB" w:rsidP="0077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КМР - О.П. Звягинцева</w:t>
      </w:r>
    </w:p>
    <w:p w:rsidR="00792E96" w:rsidRPr="00770FDB" w:rsidRDefault="00792E96" w:rsidP="0077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18" w:rsidRPr="00770FDB" w:rsidRDefault="000E5718" w:rsidP="00770FDB">
      <w:pPr>
        <w:spacing w:after="0" w:line="360" w:lineRule="auto"/>
      </w:pPr>
    </w:p>
    <w:p w:rsidR="00770FDB" w:rsidRPr="00770FDB" w:rsidRDefault="00770FDB" w:rsidP="00770FDB">
      <w:pPr>
        <w:ind w:hanging="852"/>
      </w:pPr>
    </w:p>
    <w:sectPr w:rsidR="00770FDB" w:rsidRPr="00770FDB" w:rsidSect="000E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44E"/>
    <w:multiLevelType w:val="hybridMultilevel"/>
    <w:tmpl w:val="6D92DD60"/>
    <w:lvl w:ilvl="0" w:tplc="CF94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E96"/>
    <w:rsid w:val="000E5718"/>
    <w:rsid w:val="004D4EED"/>
    <w:rsid w:val="00570E02"/>
    <w:rsid w:val="00572181"/>
    <w:rsid w:val="00770FDB"/>
    <w:rsid w:val="00792E96"/>
    <w:rsid w:val="00884C9D"/>
    <w:rsid w:val="00C922D0"/>
    <w:rsid w:val="00F20914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96"/>
    <w:pPr>
      <w:ind w:left="720"/>
      <w:contextualSpacing/>
    </w:pPr>
  </w:style>
  <w:style w:type="table" w:styleId="a4">
    <w:name w:val="Table Grid"/>
    <w:basedOn w:val="a1"/>
    <w:uiPriority w:val="59"/>
    <w:rsid w:val="0079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2022-11-24T04:13:00Z</cp:lastPrinted>
  <dcterms:created xsi:type="dcterms:W3CDTF">2022-11-23T07:54:00Z</dcterms:created>
  <dcterms:modified xsi:type="dcterms:W3CDTF">2022-11-24T04:14:00Z</dcterms:modified>
</cp:coreProperties>
</file>