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EC" w:rsidRPr="008C3608" w:rsidRDefault="008C3608" w:rsidP="008C3608">
      <w:pPr>
        <w:pStyle w:val="a3"/>
        <w:ind w:left="173" w:right="143" w:firstLine="708"/>
        <w:jc w:val="center"/>
        <w:rPr>
          <w:b/>
          <w:sz w:val="24"/>
        </w:rPr>
      </w:pPr>
      <w:r w:rsidRPr="008C3608">
        <w:rPr>
          <w:b/>
          <w:sz w:val="24"/>
        </w:rPr>
        <w:t>Заболевание брадзотом</w:t>
      </w:r>
    </w:p>
    <w:p w:rsidR="008C3608" w:rsidRPr="008C3608" w:rsidRDefault="008C3608">
      <w:pPr>
        <w:pStyle w:val="a3"/>
        <w:ind w:left="173" w:right="143" w:firstLine="708"/>
        <w:jc w:val="both"/>
        <w:rPr>
          <w:sz w:val="24"/>
        </w:rPr>
      </w:pPr>
    </w:p>
    <w:p w:rsidR="00E85AEC" w:rsidRPr="008C3608" w:rsidRDefault="008C3608">
      <w:pPr>
        <w:pStyle w:val="a3"/>
        <w:spacing w:before="1"/>
        <w:ind w:left="173" w:right="144" w:firstLine="708"/>
        <w:jc w:val="both"/>
        <w:rPr>
          <w:sz w:val="24"/>
        </w:rPr>
      </w:pPr>
      <w:r w:rsidRPr="008C3608">
        <w:rPr>
          <w:sz w:val="24"/>
        </w:rPr>
        <w:t xml:space="preserve">Брадзот — острая неконтагиозная инфекционная болезнь овец, коз и других представителей подсемейства </w:t>
      </w:r>
      <w:proofErr w:type="spellStart"/>
      <w:r w:rsidRPr="008C3608">
        <w:rPr>
          <w:sz w:val="24"/>
        </w:rPr>
        <w:t>Caprinae</w:t>
      </w:r>
      <w:proofErr w:type="spellEnd"/>
      <w:r w:rsidRPr="008C3608">
        <w:rPr>
          <w:sz w:val="24"/>
        </w:rPr>
        <w:t xml:space="preserve"> (далее — восприимчивые животные), </w:t>
      </w:r>
      <w:proofErr w:type="gramStart"/>
      <w:r w:rsidRPr="008C3608">
        <w:rPr>
          <w:sz w:val="24"/>
        </w:rPr>
        <w:t>характе</w:t>
      </w:r>
      <w:r w:rsidRPr="008C3608">
        <w:rPr>
          <w:sz w:val="24"/>
        </w:rPr>
        <w:t>ризующееся</w:t>
      </w:r>
      <w:proofErr w:type="gramEnd"/>
      <w:r w:rsidRPr="008C3608">
        <w:rPr>
          <w:sz w:val="24"/>
        </w:rPr>
        <w:t xml:space="preserve"> быстрым отравлением организма, поражением желудка, печени и других внутренних органов.</w:t>
      </w:r>
    </w:p>
    <w:p w:rsidR="00E85AEC" w:rsidRPr="008C3608" w:rsidRDefault="008C3608">
      <w:pPr>
        <w:pStyle w:val="a3"/>
        <w:ind w:left="173" w:right="149" w:firstLine="708"/>
        <w:jc w:val="both"/>
        <w:rPr>
          <w:sz w:val="24"/>
        </w:rPr>
      </w:pPr>
      <w:r w:rsidRPr="008C3608">
        <w:rPr>
          <w:sz w:val="24"/>
        </w:rPr>
        <w:t>Брадзот впервые был зарегистрирован в 1888 году в Европе. В Россию эта инфекция попала в результате перевозки животных. На развитие инфекции никак не влияют п</w:t>
      </w:r>
      <w:r w:rsidRPr="008C3608">
        <w:rPr>
          <w:sz w:val="24"/>
        </w:rPr>
        <w:t>огодные условия в местности, в которой проживают заболевшие восприимчивые животные. Эта болезнь может встречаться в любых уголках нашей страны, и способна за короткие сроки поразить всех имеющихся восприимчивых животных в хозяйстве.</w:t>
      </w:r>
    </w:p>
    <w:p w:rsidR="00E85AEC" w:rsidRPr="008C3608" w:rsidRDefault="008C3608">
      <w:pPr>
        <w:pStyle w:val="a3"/>
        <w:ind w:left="173" w:right="144" w:firstLine="708"/>
        <w:jc w:val="both"/>
        <w:rPr>
          <w:sz w:val="24"/>
        </w:rPr>
      </w:pPr>
      <w:r w:rsidRPr="008C3608">
        <w:rPr>
          <w:sz w:val="24"/>
        </w:rPr>
        <w:t>Клиническими признаками</w:t>
      </w:r>
      <w:r w:rsidRPr="008C3608">
        <w:rPr>
          <w:sz w:val="24"/>
        </w:rPr>
        <w:t xml:space="preserve"> брадзота являются скрежетание зубами, слюнотечение, судороги, геморрагическая диарея, отеки подкожной клетчатки, экссудат в брюшной и грудной полостях, повышение температуры тела до 40 — 41</w:t>
      </w:r>
      <w:proofErr w:type="gramStart"/>
      <w:r w:rsidRPr="008C3608">
        <w:rPr>
          <w:sz w:val="24"/>
        </w:rPr>
        <w:t>°С</w:t>
      </w:r>
      <w:proofErr w:type="gramEnd"/>
      <w:r w:rsidRPr="008C3608">
        <w:rPr>
          <w:sz w:val="24"/>
        </w:rPr>
        <w:t>, беспокойство, гиперемия конъюнктивы,</w:t>
      </w:r>
      <w:r w:rsidRPr="008C3608">
        <w:rPr>
          <w:spacing w:val="-2"/>
          <w:sz w:val="24"/>
        </w:rPr>
        <w:t xml:space="preserve"> </w:t>
      </w:r>
      <w:r w:rsidRPr="008C3608">
        <w:rPr>
          <w:sz w:val="24"/>
        </w:rPr>
        <w:t>потеря аппетита,</w:t>
      </w:r>
      <w:r w:rsidRPr="008C3608">
        <w:rPr>
          <w:spacing w:val="-2"/>
          <w:sz w:val="24"/>
        </w:rPr>
        <w:t xml:space="preserve"> </w:t>
      </w:r>
      <w:r w:rsidRPr="008C3608">
        <w:rPr>
          <w:sz w:val="24"/>
        </w:rPr>
        <w:t>прекраще</w:t>
      </w:r>
      <w:r w:rsidRPr="008C3608">
        <w:rPr>
          <w:sz w:val="24"/>
        </w:rPr>
        <w:t>ние</w:t>
      </w:r>
      <w:r w:rsidRPr="008C3608">
        <w:rPr>
          <w:spacing w:val="-2"/>
          <w:sz w:val="24"/>
        </w:rPr>
        <w:t xml:space="preserve"> </w:t>
      </w:r>
      <w:r w:rsidRPr="008C3608">
        <w:rPr>
          <w:sz w:val="24"/>
        </w:rPr>
        <w:t>жвачки,</w:t>
      </w:r>
      <w:r w:rsidRPr="008C3608">
        <w:rPr>
          <w:spacing w:val="-2"/>
          <w:sz w:val="24"/>
        </w:rPr>
        <w:t xml:space="preserve"> </w:t>
      </w:r>
      <w:r w:rsidRPr="008C3608">
        <w:rPr>
          <w:sz w:val="24"/>
        </w:rPr>
        <w:t>выделение кровянистой</w:t>
      </w:r>
      <w:r w:rsidRPr="008C3608">
        <w:rPr>
          <w:spacing w:val="-2"/>
          <w:sz w:val="24"/>
        </w:rPr>
        <w:t xml:space="preserve"> </w:t>
      </w:r>
      <w:r w:rsidRPr="008C3608">
        <w:rPr>
          <w:sz w:val="24"/>
        </w:rPr>
        <w:t>жидкости</w:t>
      </w:r>
      <w:r w:rsidRPr="008C3608">
        <w:rPr>
          <w:spacing w:val="-2"/>
          <w:sz w:val="24"/>
        </w:rPr>
        <w:t xml:space="preserve"> </w:t>
      </w:r>
      <w:r w:rsidRPr="008C3608">
        <w:rPr>
          <w:sz w:val="24"/>
        </w:rPr>
        <w:t>из носового и ротовой полостей, некрозы и кровоизлияния во внутренних органах. Инкубационный период болезни составляет 1 день.</w:t>
      </w:r>
    </w:p>
    <w:p w:rsidR="00E85AEC" w:rsidRPr="008C3608" w:rsidRDefault="008C3608">
      <w:pPr>
        <w:pStyle w:val="a3"/>
        <w:ind w:left="173" w:right="145" w:firstLine="708"/>
        <w:jc w:val="both"/>
        <w:rPr>
          <w:sz w:val="24"/>
        </w:rPr>
      </w:pPr>
      <w:r w:rsidRPr="008C3608">
        <w:rPr>
          <w:sz w:val="24"/>
        </w:rPr>
        <w:t>Источником возбудителя являются больные восприимчивые животные, в трупах которых образ</w:t>
      </w:r>
      <w:r w:rsidRPr="008C3608">
        <w:rPr>
          <w:sz w:val="24"/>
        </w:rPr>
        <w:t>уются споры, заражающие внешнюю среду. Передача возбудителя осуществляется алиментарным путем. Факторами передачи возбудителя являются инфицированные спорами возбудителя почва, корма, вода, предметы, используемые при уходе за восприимчивыми животными.</w:t>
      </w:r>
    </w:p>
    <w:p w:rsidR="00E85AEC" w:rsidRPr="008C3608" w:rsidRDefault="008C3608">
      <w:pPr>
        <w:pStyle w:val="a3"/>
        <w:ind w:left="173" w:right="152" w:firstLine="708"/>
        <w:jc w:val="both"/>
        <w:rPr>
          <w:sz w:val="24"/>
        </w:rPr>
      </w:pPr>
      <w:r w:rsidRPr="008C3608">
        <w:rPr>
          <w:sz w:val="24"/>
        </w:rPr>
        <w:t xml:space="preserve">Брадзот не заразен, но часто проявляется как эпидемия. </w:t>
      </w:r>
      <w:proofErr w:type="gramStart"/>
      <w:r w:rsidRPr="008C3608">
        <w:rPr>
          <w:sz w:val="24"/>
        </w:rPr>
        <w:t>Причина в том, что возбудители</w:t>
      </w:r>
      <w:r w:rsidRPr="008C3608">
        <w:rPr>
          <w:spacing w:val="26"/>
          <w:sz w:val="24"/>
        </w:rPr>
        <w:t xml:space="preserve"> </w:t>
      </w:r>
      <w:r w:rsidRPr="008C3608">
        <w:rPr>
          <w:sz w:val="24"/>
        </w:rPr>
        <w:t>болезни</w:t>
      </w:r>
      <w:r w:rsidRPr="008C3608">
        <w:rPr>
          <w:spacing w:val="26"/>
          <w:sz w:val="24"/>
        </w:rPr>
        <w:t xml:space="preserve"> </w:t>
      </w:r>
      <w:r w:rsidRPr="008C3608">
        <w:rPr>
          <w:sz w:val="24"/>
        </w:rPr>
        <w:t>попадают</w:t>
      </w:r>
      <w:r w:rsidRPr="008C3608">
        <w:rPr>
          <w:spacing w:val="23"/>
          <w:sz w:val="24"/>
        </w:rPr>
        <w:t xml:space="preserve"> </w:t>
      </w:r>
      <w:r w:rsidRPr="008C3608">
        <w:rPr>
          <w:sz w:val="24"/>
        </w:rPr>
        <w:t>в</w:t>
      </w:r>
      <w:r w:rsidRPr="008C3608">
        <w:rPr>
          <w:spacing w:val="23"/>
          <w:sz w:val="24"/>
        </w:rPr>
        <w:t xml:space="preserve"> </w:t>
      </w:r>
      <w:r w:rsidRPr="008C3608">
        <w:rPr>
          <w:sz w:val="24"/>
        </w:rPr>
        <w:t>организм</w:t>
      </w:r>
      <w:r w:rsidRPr="008C3608">
        <w:rPr>
          <w:spacing w:val="24"/>
          <w:sz w:val="24"/>
        </w:rPr>
        <w:t xml:space="preserve"> </w:t>
      </w:r>
      <w:r w:rsidRPr="008C3608">
        <w:rPr>
          <w:sz w:val="24"/>
        </w:rPr>
        <w:t>из</w:t>
      </w:r>
      <w:r w:rsidRPr="008C3608">
        <w:rPr>
          <w:spacing w:val="24"/>
          <w:sz w:val="24"/>
        </w:rPr>
        <w:t xml:space="preserve"> </w:t>
      </w:r>
      <w:r w:rsidRPr="008C3608">
        <w:rPr>
          <w:sz w:val="24"/>
        </w:rPr>
        <w:t>почвы</w:t>
      </w:r>
      <w:r w:rsidRPr="008C3608">
        <w:rPr>
          <w:spacing w:val="24"/>
          <w:sz w:val="24"/>
        </w:rPr>
        <w:t xml:space="preserve"> </w:t>
      </w:r>
      <w:r w:rsidRPr="008C3608">
        <w:rPr>
          <w:sz w:val="24"/>
        </w:rPr>
        <w:t>с</w:t>
      </w:r>
      <w:r w:rsidRPr="008C3608">
        <w:rPr>
          <w:spacing w:val="23"/>
          <w:sz w:val="24"/>
        </w:rPr>
        <w:t xml:space="preserve"> </w:t>
      </w:r>
      <w:r w:rsidRPr="008C3608">
        <w:rPr>
          <w:sz w:val="24"/>
        </w:rPr>
        <w:t>загрязненной</w:t>
      </w:r>
      <w:r w:rsidRPr="008C3608">
        <w:rPr>
          <w:spacing w:val="24"/>
          <w:sz w:val="24"/>
        </w:rPr>
        <w:t xml:space="preserve"> </w:t>
      </w:r>
      <w:r w:rsidRPr="008C3608">
        <w:rPr>
          <w:sz w:val="24"/>
        </w:rPr>
        <w:t>спорами</w:t>
      </w:r>
      <w:r w:rsidRPr="008C3608">
        <w:rPr>
          <w:spacing w:val="26"/>
          <w:sz w:val="24"/>
        </w:rPr>
        <w:t xml:space="preserve"> </w:t>
      </w:r>
      <w:proofErr w:type="spellStart"/>
      <w:r w:rsidRPr="008C3608">
        <w:rPr>
          <w:sz w:val="24"/>
        </w:rPr>
        <w:t>клостридий</w:t>
      </w:r>
      <w:proofErr w:type="spellEnd"/>
      <w:r w:rsidRPr="008C3608">
        <w:rPr>
          <w:sz w:val="24"/>
        </w:rPr>
        <w:t xml:space="preserve"> </w:t>
      </w:r>
      <w:proofErr w:type="gramEnd"/>
    </w:p>
    <w:p w:rsidR="008C3608" w:rsidRPr="008C3608" w:rsidRDefault="008C3608" w:rsidP="008C3608">
      <w:pPr>
        <w:pStyle w:val="a3"/>
        <w:spacing w:before="67"/>
        <w:ind w:left="173" w:right="144"/>
        <w:jc w:val="both"/>
        <w:rPr>
          <w:sz w:val="24"/>
        </w:rPr>
      </w:pPr>
      <w:r w:rsidRPr="008C3608">
        <w:rPr>
          <w:sz w:val="24"/>
        </w:rPr>
        <w:t xml:space="preserve">водой. Поэтому особенно большие эпизоотии возникают в дождливые годы. Кроме того, увеличение заболеваемости может возникать в период заморозков после поедания </w:t>
      </w:r>
      <w:proofErr w:type="gramStart"/>
      <w:r w:rsidRPr="008C3608">
        <w:rPr>
          <w:sz w:val="24"/>
        </w:rPr>
        <w:t>м</w:t>
      </w:r>
      <w:proofErr w:type="gramEnd"/>
      <w:r w:rsidRPr="008C3608">
        <w:rPr>
          <w:sz w:val="24"/>
        </w:rPr>
        <w:t>ѐрзлой травы или покрытого инеем корма, а также из-за переохлаждения организма, например, после стрижки. Возбудитель способен сохранять жизнеспособность в почве — до 30 лет, в гниющих мышцах и навозе — до 6 месяцев.</w:t>
      </w:r>
    </w:p>
    <w:p w:rsidR="008C3608" w:rsidRPr="008C3608" w:rsidRDefault="008C3608" w:rsidP="008C3608">
      <w:pPr>
        <w:pStyle w:val="a3"/>
        <w:ind w:left="173" w:right="155" w:firstLine="708"/>
        <w:jc w:val="both"/>
        <w:rPr>
          <w:sz w:val="24"/>
        </w:rPr>
      </w:pPr>
      <w:r w:rsidRPr="008C3608">
        <w:rPr>
          <w:sz w:val="24"/>
        </w:rPr>
        <w:t>Прижизненный диагноз поставить очень трудно, так как болезнь протекает очень остро, а клинические признаки недостаточно характерны.</w:t>
      </w:r>
    </w:p>
    <w:p w:rsidR="008C3608" w:rsidRPr="008C3608" w:rsidRDefault="008C3608" w:rsidP="008C3608">
      <w:pPr>
        <w:pStyle w:val="a3"/>
        <w:spacing w:before="2"/>
        <w:ind w:left="173" w:right="144" w:firstLine="708"/>
        <w:jc w:val="both"/>
        <w:rPr>
          <w:sz w:val="24"/>
        </w:rPr>
      </w:pPr>
      <w:r w:rsidRPr="008C3608">
        <w:rPr>
          <w:sz w:val="24"/>
        </w:rPr>
        <w:t>Лечение в настоящее время не разработано. Для профилактики брадзота в</w:t>
      </w:r>
      <w:r w:rsidRPr="008C3608">
        <w:rPr>
          <w:spacing w:val="40"/>
          <w:sz w:val="24"/>
        </w:rPr>
        <w:t xml:space="preserve"> </w:t>
      </w:r>
      <w:r w:rsidRPr="008C3608">
        <w:rPr>
          <w:sz w:val="24"/>
        </w:rPr>
        <w:t>хозяйствах проводится вакцинация восприимчивых животных против брадзота вакцинами согласно инструкциям по их применению. При стойлово-пастбищном содержании вакцинация восприимчивых животных против брадзота должна быть завершена не</w:t>
      </w:r>
      <w:r w:rsidRPr="008C3608">
        <w:rPr>
          <w:spacing w:val="40"/>
          <w:sz w:val="24"/>
        </w:rPr>
        <w:t xml:space="preserve"> </w:t>
      </w:r>
      <w:r w:rsidRPr="008C3608">
        <w:rPr>
          <w:sz w:val="24"/>
        </w:rPr>
        <w:t>позднее, чем за 30 дней до их выгона на пастбище.</w:t>
      </w:r>
    </w:p>
    <w:p w:rsidR="008C3608" w:rsidRPr="008C3608" w:rsidRDefault="008C3608" w:rsidP="008C3608">
      <w:pPr>
        <w:pStyle w:val="a3"/>
        <w:ind w:left="173" w:right="153" w:firstLine="708"/>
        <w:jc w:val="both"/>
        <w:rPr>
          <w:sz w:val="24"/>
        </w:rPr>
      </w:pPr>
      <w:r w:rsidRPr="008C3608">
        <w:rPr>
          <w:sz w:val="24"/>
        </w:rPr>
        <w:t>При наличии оснований для подозрения на брадзот владельцы восприимчивых животных обязаны:</w:t>
      </w:r>
    </w:p>
    <w:p w:rsidR="008C3608" w:rsidRPr="008C3608" w:rsidRDefault="008C3608" w:rsidP="008C3608">
      <w:pPr>
        <w:pStyle w:val="a5"/>
        <w:numPr>
          <w:ilvl w:val="0"/>
          <w:numId w:val="1"/>
        </w:numPr>
        <w:tabs>
          <w:tab w:val="left" w:pos="547"/>
        </w:tabs>
        <w:spacing w:before="1"/>
        <w:ind w:right="148" w:firstLine="0"/>
        <w:rPr>
          <w:sz w:val="24"/>
        </w:rPr>
      </w:pPr>
      <w:r w:rsidRPr="008C3608">
        <w:rPr>
          <w:sz w:val="24"/>
        </w:rPr>
        <w:t>сообщить в течение 24 часов любым доступным способом о подозрении на брадзот должностному лицу органа исполнительной власти субъекта Российской Федерации (на территории которого содержатся восприимчивые животные), осуществляющего переданные полномочия в области ветеринарии, или подведомственной ему организации;</w:t>
      </w:r>
    </w:p>
    <w:p w:rsidR="008C3608" w:rsidRPr="008C3608" w:rsidRDefault="008C3608" w:rsidP="008C3608">
      <w:pPr>
        <w:pStyle w:val="a5"/>
        <w:numPr>
          <w:ilvl w:val="0"/>
          <w:numId w:val="1"/>
        </w:numPr>
        <w:tabs>
          <w:tab w:val="left" w:pos="508"/>
        </w:tabs>
        <w:ind w:right="150" w:firstLine="0"/>
        <w:rPr>
          <w:sz w:val="24"/>
        </w:rPr>
      </w:pPr>
      <w:r w:rsidRPr="008C3608">
        <w:rPr>
          <w:sz w:val="24"/>
        </w:rPr>
        <w:t xml:space="preserve">содействовать специалистам </w:t>
      </w:r>
      <w:proofErr w:type="spellStart"/>
      <w:r w:rsidRPr="008C3608">
        <w:rPr>
          <w:sz w:val="24"/>
        </w:rPr>
        <w:t>госветслужбы</w:t>
      </w:r>
      <w:proofErr w:type="spellEnd"/>
      <w:r w:rsidRPr="008C3608">
        <w:rPr>
          <w:sz w:val="24"/>
        </w:rPr>
        <w:t xml:space="preserve"> в проведении отбора проб биологического и (или) патологического материала от восприимчивых животных и направлении проб в лабораторию (испытательный центр) органов и организаций, 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аккредитации, для исследования на брадзот;</w:t>
      </w:r>
    </w:p>
    <w:p w:rsidR="008C3608" w:rsidRPr="008C3608" w:rsidRDefault="008C3608" w:rsidP="008C3608">
      <w:pPr>
        <w:pStyle w:val="a5"/>
        <w:numPr>
          <w:ilvl w:val="0"/>
          <w:numId w:val="1"/>
        </w:numPr>
        <w:tabs>
          <w:tab w:val="left" w:pos="667"/>
        </w:tabs>
        <w:spacing w:after="12" w:line="298" w:lineRule="exact"/>
        <w:ind w:left="667" w:hanging="494"/>
        <w:rPr>
          <w:sz w:val="24"/>
        </w:rPr>
      </w:pPr>
      <w:r w:rsidRPr="008C3608">
        <w:rPr>
          <w:sz w:val="24"/>
        </w:rPr>
        <w:t>предоставить</w:t>
      </w:r>
      <w:r w:rsidRPr="008C3608">
        <w:rPr>
          <w:spacing w:val="46"/>
          <w:sz w:val="24"/>
        </w:rPr>
        <w:t xml:space="preserve">  </w:t>
      </w:r>
      <w:r w:rsidRPr="008C3608">
        <w:rPr>
          <w:sz w:val="24"/>
        </w:rPr>
        <w:t>специалисту</w:t>
      </w:r>
      <w:r w:rsidRPr="008C3608">
        <w:rPr>
          <w:spacing w:val="45"/>
          <w:sz w:val="24"/>
        </w:rPr>
        <w:t xml:space="preserve">  </w:t>
      </w:r>
      <w:proofErr w:type="spellStart"/>
      <w:r w:rsidRPr="008C3608">
        <w:rPr>
          <w:sz w:val="24"/>
        </w:rPr>
        <w:t>госветслужбы</w:t>
      </w:r>
      <w:proofErr w:type="spellEnd"/>
      <w:r w:rsidRPr="008C3608">
        <w:rPr>
          <w:spacing w:val="47"/>
          <w:sz w:val="24"/>
        </w:rPr>
        <w:t xml:space="preserve">  </w:t>
      </w:r>
      <w:r w:rsidRPr="008C3608">
        <w:rPr>
          <w:sz w:val="24"/>
        </w:rPr>
        <w:t>сведения</w:t>
      </w:r>
      <w:r w:rsidRPr="008C3608">
        <w:rPr>
          <w:spacing w:val="47"/>
          <w:sz w:val="24"/>
        </w:rPr>
        <w:t xml:space="preserve">  </w:t>
      </w:r>
      <w:r w:rsidRPr="008C3608">
        <w:rPr>
          <w:sz w:val="24"/>
        </w:rPr>
        <w:t>о</w:t>
      </w:r>
      <w:r w:rsidRPr="008C3608">
        <w:rPr>
          <w:spacing w:val="47"/>
          <w:sz w:val="24"/>
        </w:rPr>
        <w:t xml:space="preserve">  </w:t>
      </w:r>
      <w:r w:rsidRPr="008C3608">
        <w:rPr>
          <w:sz w:val="24"/>
        </w:rPr>
        <w:t>численности</w:t>
      </w:r>
      <w:r w:rsidRPr="008C3608">
        <w:rPr>
          <w:spacing w:val="47"/>
          <w:sz w:val="24"/>
        </w:rPr>
        <w:t xml:space="preserve">  </w:t>
      </w:r>
      <w:proofErr w:type="gramStart"/>
      <w:r w:rsidRPr="008C3608">
        <w:rPr>
          <w:spacing w:val="-2"/>
          <w:sz w:val="24"/>
        </w:rPr>
        <w:t>имеющихся</w:t>
      </w:r>
      <w:proofErr w:type="gramEnd"/>
    </w:p>
    <w:tbl>
      <w:tblPr>
        <w:tblStyle w:val="TableNormal"/>
        <w:tblW w:w="0" w:type="auto"/>
        <w:tblInd w:w="130" w:type="dxa"/>
        <w:tblLayout w:type="fixed"/>
        <w:tblLook w:val="01E0"/>
      </w:tblPr>
      <w:tblGrid>
        <w:gridCol w:w="6328"/>
        <w:gridCol w:w="286"/>
        <w:gridCol w:w="1311"/>
        <w:gridCol w:w="2372"/>
      </w:tblGrid>
      <w:tr w:rsidR="008C3608" w:rsidRPr="008C3608" w:rsidTr="001D0388">
        <w:trPr>
          <w:trHeight w:val="741"/>
        </w:trPr>
        <w:tc>
          <w:tcPr>
            <w:tcW w:w="6328" w:type="dxa"/>
          </w:tcPr>
          <w:p w:rsidR="008C3608" w:rsidRPr="008C3608" w:rsidRDefault="008C3608" w:rsidP="001D0388">
            <w:pPr>
              <w:pStyle w:val="TableParagraph"/>
              <w:ind w:left="50"/>
              <w:rPr>
                <w:sz w:val="24"/>
              </w:rPr>
            </w:pPr>
            <w:r w:rsidRPr="008C3608">
              <w:rPr>
                <w:sz w:val="24"/>
              </w:rPr>
              <w:t>(имевшихся)</w:t>
            </w:r>
            <w:r w:rsidRPr="008C3608">
              <w:rPr>
                <w:spacing w:val="80"/>
                <w:sz w:val="24"/>
              </w:rPr>
              <w:t xml:space="preserve"> </w:t>
            </w:r>
            <w:r w:rsidRPr="008C3608">
              <w:rPr>
                <w:sz w:val="24"/>
              </w:rPr>
              <w:t>в</w:t>
            </w:r>
            <w:r w:rsidRPr="008C3608">
              <w:rPr>
                <w:spacing w:val="80"/>
                <w:sz w:val="24"/>
              </w:rPr>
              <w:t xml:space="preserve"> </w:t>
            </w:r>
            <w:r w:rsidRPr="008C3608">
              <w:rPr>
                <w:sz w:val="24"/>
              </w:rPr>
              <w:t>хозяйстве</w:t>
            </w:r>
            <w:r w:rsidRPr="008C3608">
              <w:rPr>
                <w:spacing w:val="80"/>
                <w:sz w:val="24"/>
              </w:rPr>
              <w:t xml:space="preserve"> </w:t>
            </w:r>
            <w:r w:rsidRPr="008C3608">
              <w:rPr>
                <w:sz w:val="24"/>
              </w:rPr>
              <w:t>восприимчивых</w:t>
            </w:r>
            <w:r w:rsidRPr="008C3608">
              <w:rPr>
                <w:spacing w:val="80"/>
                <w:sz w:val="24"/>
              </w:rPr>
              <w:t xml:space="preserve"> </w:t>
            </w:r>
            <w:r w:rsidRPr="008C3608">
              <w:rPr>
                <w:sz w:val="24"/>
              </w:rPr>
              <w:t xml:space="preserve">животных восприимчивых животных за </w:t>
            </w:r>
            <w:proofErr w:type="gramStart"/>
            <w:r w:rsidRPr="008C3608">
              <w:rPr>
                <w:sz w:val="24"/>
              </w:rPr>
              <w:t>последние</w:t>
            </w:r>
            <w:proofErr w:type="gramEnd"/>
            <w:r w:rsidRPr="008C3608">
              <w:rPr>
                <w:sz w:val="24"/>
              </w:rPr>
              <w:t xml:space="preserve"> 30 дней.</w:t>
            </w:r>
          </w:p>
        </w:tc>
        <w:tc>
          <w:tcPr>
            <w:tcW w:w="286" w:type="dxa"/>
          </w:tcPr>
          <w:p w:rsidR="008C3608" w:rsidRPr="008C3608" w:rsidRDefault="008C3608" w:rsidP="001D0388">
            <w:pPr>
              <w:pStyle w:val="TableParagraph"/>
              <w:spacing w:line="287" w:lineRule="exact"/>
              <w:ind w:left="85"/>
              <w:rPr>
                <w:sz w:val="24"/>
              </w:rPr>
            </w:pPr>
            <w:r w:rsidRPr="008C3608">
              <w:rPr>
                <w:spacing w:val="-10"/>
                <w:sz w:val="24"/>
              </w:rPr>
              <w:t>с</w:t>
            </w:r>
          </w:p>
        </w:tc>
        <w:tc>
          <w:tcPr>
            <w:tcW w:w="1311" w:type="dxa"/>
          </w:tcPr>
          <w:p w:rsidR="008C3608" w:rsidRPr="008C3608" w:rsidRDefault="008C3608" w:rsidP="001D0388">
            <w:pPr>
              <w:pStyle w:val="TableParagraph"/>
              <w:spacing w:line="287" w:lineRule="exact"/>
              <w:ind w:left="87"/>
              <w:rPr>
                <w:sz w:val="24"/>
              </w:rPr>
            </w:pPr>
            <w:r w:rsidRPr="008C3608">
              <w:rPr>
                <w:spacing w:val="-2"/>
                <w:sz w:val="24"/>
              </w:rPr>
              <w:t>указанием</w:t>
            </w:r>
          </w:p>
        </w:tc>
        <w:tc>
          <w:tcPr>
            <w:tcW w:w="2372" w:type="dxa"/>
          </w:tcPr>
          <w:p w:rsidR="008C3608" w:rsidRPr="008C3608" w:rsidRDefault="008C3608" w:rsidP="001D0388">
            <w:pPr>
              <w:pStyle w:val="TableParagraph"/>
              <w:spacing w:line="287" w:lineRule="exact"/>
              <w:ind w:right="46"/>
              <w:jc w:val="right"/>
              <w:rPr>
                <w:sz w:val="24"/>
              </w:rPr>
            </w:pPr>
            <w:r w:rsidRPr="008C3608">
              <w:rPr>
                <w:sz w:val="24"/>
              </w:rPr>
              <w:t>количества</w:t>
            </w:r>
            <w:r w:rsidRPr="008C3608">
              <w:rPr>
                <w:spacing w:val="75"/>
                <w:sz w:val="24"/>
              </w:rPr>
              <w:t xml:space="preserve"> </w:t>
            </w:r>
            <w:proofErr w:type="gramStart"/>
            <w:r w:rsidRPr="008C3608">
              <w:rPr>
                <w:spacing w:val="-2"/>
                <w:sz w:val="24"/>
              </w:rPr>
              <w:t>павших</w:t>
            </w:r>
            <w:proofErr w:type="gramEnd"/>
          </w:p>
        </w:tc>
      </w:tr>
    </w:tbl>
    <w:p w:rsidR="00E85AEC" w:rsidRPr="008C3608" w:rsidRDefault="00E85AEC">
      <w:pPr>
        <w:jc w:val="both"/>
        <w:rPr>
          <w:sz w:val="20"/>
        </w:rPr>
        <w:sectPr w:rsidR="00E85AEC" w:rsidRPr="008C3608">
          <w:type w:val="continuous"/>
          <w:pgSz w:w="11910" w:h="16840"/>
          <w:pgMar w:top="1120" w:right="420" w:bottom="280" w:left="960" w:header="720" w:footer="720" w:gutter="0"/>
          <w:cols w:space="720"/>
        </w:sectPr>
      </w:pPr>
    </w:p>
    <w:p w:rsidR="00E85AEC" w:rsidRDefault="00E85AEC">
      <w:pPr>
        <w:spacing w:line="229" w:lineRule="exact"/>
        <w:ind w:left="173"/>
        <w:jc w:val="both"/>
        <w:rPr>
          <w:sz w:val="20"/>
        </w:rPr>
      </w:pPr>
    </w:p>
    <w:sectPr w:rsidR="00E85AEC" w:rsidSect="00E85AEC">
      <w:pgSz w:w="11910" w:h="16840"/>
      <w:pgMar w:top="1040" w:right="4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4D73"/>
    <w:multiLevelType w:val="hybridMultilevel"/>
    <w:tmpl w:val="FD043B88"/>
    <w:lvl w:ilvl="0" w:tplc="2E968EE4">
      <w:numFmt w:val="bullet"/>
      <w:lvlText w:val="—"/>
      <w:lvlJc w:val="left"/>
      <w:pPr>
        <w:ind w:left="17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E8481EE">
      <w:numFmt w:val="bullet"/>
      <w:lvlText w:val="•"/>
      <w:lvlJc w:val="left"/>
      <w:pPr>
        <w:ind w:left="1214" w:hanging="375"/>
      </w:pPr>
      <w:rPr>
        <w:rFonts w:hint="default"/>
        <w:lang w:val="ru-RU" w:eastAsia="en-US" w:bidi="ar-SA"/>
      </w:rPr>
    </w:lvl>
    <w:lvl w:ilvl="2" w:tplc="1FB236B0">
      <w:numFmt w:val="bullet"/>
      <w:lvlText w:val="•"/>
      <w:lvlJc w:val="left"/>
      <w:pPr>
        <w:ind w:left="2249" w:hanging="375"/>
      </w:pPr>
      <w:rPr>
        <w:rFonts w:hint="default"/>
        <w:lang w:val="ru-RU" w:eastAsia="en-US" w:bidi="ar-SA"/>
      </w:rPr>
    </w:lvl>
    <w:lvl w:ilvl="3" w:tplc="5AC8FC68">
      <w:numFmt w:val="bullet"/>
      <w:lvlText w:val="•"/>
      <w:lvlJc w:val="left"/>
      <w:pPr>
        <w:ind w:left="3283" w:hanging="375"/>
      </w:pPr>
      <w:rPr>
        <w:rFonts w:hint="default"/>
        <w:lang w:val="ru-RU" w:eastAsia="en-US" w:bidi="ar-SA"/>
      </w:rPr>
    </w:lvl>
    <w:lvl w:ilvl="4" w:tplc="A6E6680C">
      <w:numFmt w:val="bullet"/>
      <w:lvlText w:val="•"/>
      <w:lvlJc w:val="left"/>
      <w:pPr>
        <w:ind w:left="4318" w:hanging="375"/>
      </w:pPr>
      <w:rPr>
        <w:rFonts w:hint="default"/>
        <w:lang w:val="ru-RU" w:eastAsia="en-US" w:bidi="ar-SA"/>
      </w:rPr>
    </w:lvl>
    <w:lvl w:ilvl="5" w:tplc="ED9AF1FC">
      <w:numFmt w:val="bullet"/>
      <w:lvlText w:val="•"/>
      <w:lvlJc w:val="left"/>
      <w:pPr>
        <w:ind w:left="5353" w:hanging="375"/>
      </w:pPr>
      <w:rPr>
        <w:rFonts w:hint="default"/>
        <w:lang w:val="ru-RU" w:eastAsia="en-US" w:bidi="ar-SA"/>
      </w:rPr>
    </w:lvl>
    <w:lvl w:ilvl="6" w:tplc="D302903E">
      <w:numFmt w:val="bullet"/>
      <w:lvlText w:val="•"/>
      <w:lvlJc w:val="left"/>
      <w:pPr>
        <w:ind w:left="6387" w:hanging="375"/>
      </w:pPr>
      <w:rPr>
        <w:rFonts w:hint="default"/>
        <w:lang w:val="ru-RU" w:eastAsia="en-US" w:bidi="ar-SA"/>
      </w:rPr>
    </w:lvl>
    <w:lvl w:ilvl="7" w:tplc="2B3ABFDE">
      <w:numFmt w:val="bullet"/>
      <w:lvlText w:val="•"/>
      <w:lvlJc w:val="left"/>
      <w:pPr>
        <w:ind w:left="7422" w:hanging="375"/>
      </w:pPr>
      <w:rPr>
        <w:rFonts w:hint="default"/>
        <w:lang w:val="ru-RU" w:eastAsia="en-US" w:bidi="ar-SA"/>
      </w:rPr>
    </w:lvl>
    <w:lvl w:ilvl="8" w:tplc="1CD45E3A">
      <w:numFmt w:val="bullet"/>
      <w:lvlText w:val="•"/>
      <w:lvlJc w:val="left"/>
      <w:pPr>
        <w:ind w:left="8457" w:hanging="37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5AEC"/>
    <w:rsid w:val="008C3608"/>
    <w:rsid w:val="00E8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5A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A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5AEC"/>
    <w:rPr>
      <w:sz w:val="26"/>
      <w:szCs w:val="26"/>
    </w:rPr>
  </w:style>
  <w:style w:type="paragraph" w:styleId="a4">
    <w:name w:val="Title"/>
    <w:basedOn w:val="a"/>
    <w:uiPriority w:val="1"/>
    <w:qFormat/>
    <w:rsid w:val="00E85AEC"/>
    <w:pPr>
      <w:spacing w:line="368" w:lineRule="exact"/>
      <w:ind w:left="321" w:right="1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85AEC"/>
    <w:pPr>
      <w:ind w:left="173"/>
      <w:jc w:val="both"/>
    </w:pPr>
  </w:style>
  <w:style w:type="paragraph" w:customStyle="1" w:styleId="TableParagraph">
    <w:name w:val="Table Paragraph"/>
    <w:basedOn w:val="a"/>
    <w:uiPriority w:val="1"/>
    <w:qFormat/>
    <w:rsid w:val="00E85AEC"/>
  </w:style>
  <w:style w:type="paragraph" w:styleId="a6">
    <w:name w:val="Balloon Text"/>
    <w:basedOn w:val="a"/>
    <w:link w:val="a7"/>
    <w:uiPriority w:val="99"/>
    <w:semiHidden/>
    <w:unhideWhenUsed/>
    <w:rsid w:val="008C36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6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брадзот.pdf</dc:title>
  <cp:lastModifiedBy>Admin</cp:lastModifiedBy>
  <cp:revision>2</cp:revision>
  <dcterms:created xsi:type="dcterms:W3CDTF">2024-03-29T06:41:00Z</dcterms:created>
  <dcterms:modified xsi:type="dcterms:W3CDTF">2024-03-29T06:46:00Z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LastSaved">
    <vt:filetime>2024-03-29T00:00:00Z</vt:filetime>
  </property>
  <property fmtid="{D5CDD505-2E9C-101B-9397-08002B2CF9AE}" pid="4" name="Producer">
    <vt:lpwstr>iText® 5.5.13 ©2000-2018 iText Group NV (AGPL-version)</vt:lpwstr>
  </property>
</Properties>
</file>