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bottom w:val="single" w:color="000000" w:sz="2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rPr>
                <w:b/>
                <w:sz w:val="32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</w:t>
            </w:r>
            <w:r>
              <w:rPr>
                <w:rFonts w:cs="Arial Unicode MS"/>
                <w:b/>
                <w:sz w:val="28"/>
              </w:rPr>
              <w:t xml:space="preserve">с</w:t>
            </w:r>
            <w:r>
              <w:rPr>
                <w:rFonts w:cs="Arial Unicode MS"/>
                <w:b/>
                <w:sz w:val="28"/>
              </w:rPr>
              <w:t xml:space="preserve"> и й с к а </w:t>
            </w:r>
            <w:r>
              <w:rPr>
                <w:rFonts w:cs="Arial Unicode MS"/>
                <w:b/>
                <w:sz w:val="28"/>
              </w:rPr>
              <w:t xml:space="preserve">я  Ф</w:t>
            </w:r>
            <w:r>
              <w:rPr>
                <w:rFonts w:cs="Arial Unicode MS"/>
                <w:b/>
                <w:sz w:val="28"/>
              </w:rPr>
              <w:t xml:space="preserve"> е д е р а ц и я</w:t>
            </w:r>
            <w:r>
              <w:rPr>
                <w:b/>
                <w:sz w:val="32"/>
              </w:rPr>
            </w:r>
          </w:p>
          <w:p>
            <w:pPr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</w:t>
            </w:r>
            <w:r>
              <w:rPr>
                <w:b/>
                <w:sz w:val="32"/>
              </w:rPr>
              <w:t xml:space="preserve">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jc w:val="center"/>
              <w:keepNext/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/>
          </w:p>
        </w:tc>
      </w:tr>
    </w:tbl>
    <w:p>
      <w:pPr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spacing w:line="276" w:lineRule="auto"/>
      </w:pPr>
      <w:r>
        <w:t xml:space="preserve">от «23» июля 2026 года                                                                              </w:t>
      </w:r>
      <w:r>
        <w:tab/>
      </w:r>
      <w:r>
        <w:tab/>
      </w:r>
      <w:r>
        <w:t xml:space="preserve">№ 387</w:t>
      </w:r>
      <w:r/>
    </w:p>
    <w:p>
      <w:pPr>
        <w:jc w:val="both"/>
        <w:spacing w:line="276" w:lineRule="auto"/>
      </w:pPr>
      <w:r/>
      <w:r/>
    </w:p>
    <w:p>
      <w:pPr>
        <w:jc w:val="both"/>
      </w:pPr>
      <w:r>
        <w:t xml:space="preserve">О внесении изменений в Порядок назначения и проведения собрания граждан в муниципальном образовании «</w:t>
      </w:r>
      <w:r>
        <w:t xml:space="preserve">Тайшетский</w:t>
      </w:r>
      <w:r>
        <w:t xml:space="preserve"> муниципальный округ Иркутской области», проводимого в целях обсуждения вопросов внесения инициативных проектов и их рассмотрения, утвержденн</w:t>
      </w:r>
      <w:r>
        <w:t xml:space="preserve">ый решением Думы </w:t>
      </w:r>
      <w:r>
        <w:t xml:space="preserve">Тайшетского</w:t>
      </w:r>
      <w:r>
        <w:t xml:space="preserve"> муниципального округа Иркутской области от 27 февраля 2026 года № 206 </w:t>
      </w:r>
      <w:r/>
    </w:p>
    <w:p>
      <w:pPr>
        <w:jc w:val="both"/>
      </w:pPr>
      <w:r/>
      <w:r/>
    </w:p>
    <w:p>
      <w:pPr>
        <w:contextualSpacing/>
        <w:ind w:firstLine="567"/>
        <w:jc w:val="both"/>
        <w:widowControl w:val="off"/>
        <w:tabs>
          <w:tab w:val="left" w:pos="1134" w:leader="none"/>
        </w:tabs>
        <w:rPr>
          <w:lang w:eastAsia="en-US"/>
        </w:rPr>
      </w:pPr>
      <w:r>
        <w:rPr>
          <w:color w:val="000000"/>
        </w:rPr>
        <w:t xml:space="preserve">В соответствии со статьей 16 Федерального закона от 6 октя</w:t>
      </w:r>
      <w:r>
        <w:rPr>
          <w:color w:val="000000"/>
        </w:rPr>
        <w:t xml:space="preserve">бря 2003 года № 131-ФЗ «Об общих принципах организации местного самоуправления в Российской Федерации»,</w:t>
      </w:r>
      <w:r>
        <w:rPr>
          <w:color w:val="000000"/>
        </w:rPr>
        <w:t xml:space="preserve"> статьей 49 Федерального закона от 20 марта 2025 года № 33-Ф3 «Об общих принципах организации местного самоуправления в единой системе публичной власти»</w:t>
      </w:r>
      <w:r>
        <w:t xml:space="preserve">,</w:t>
      </w:r>
      <w:r>
        <w:rPr>
          <w:color w:val="000000"/>
        </w:rPr>
        <w:t xml:space="preserve"> руководствуясь статьями 6, 21, 31, 36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Устава </w:t>
      </w:r>
      <w:r>
        <w:rPr>
          <w:color w:val="000000"/>
        </w:rPr>
        <w:t xml:space="preserve">Тайшетского</w:t>
      </w:r>
      <w:r>
        <w:rPr>
          <w:color w:val="000000"/>
        </w:rPr>
        <w:t xml:space="preserve"> муниципального округа Иркутской области, Дума</w:t>
      </w:r>
      <w:r>
        <w:rPr>
          <w:lang w:eastAsia="en-US"/>
        </w:rPr>
        <w:t xml:space="preserve"> </w:t>
      </w:r>
      <w:r>
        <w:rPr>
          <w:lang w:eastAsia="en-US"/>
        </w:rPr>
        <w:t xml:space="preserve">Тайшетского</w:t>
      </w:r>
      <w:r>
        <w:rPr>
          <w:lang w:eastAsia="en-US"/>
        </w:rPr>
        <w:t xml:space="preserve"> муниципального округа Иркутской области</w:t>
      </w:r>
      <w:r>
        <w:rPr>
          <w:lang w:eastAsia="en-US"/>
        </w:rPr>
      </w:r>
    </w:p>
    <w:p>
      <w:pPr>
        <w:contextualSpacing/>
        <w:ind w:firstLine="567"/>
        <w:jc w:val="both"/>
        <w:widowControl w:val="off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contextualSpacing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contextualSpacing/>
        <w:ind w:firstLine="567"/>
        <w:jc w:val="both"/>
        <w:widowControl w:val="off"/>
        <w:rPr>
          <w:color w:val="000000"/>
        </w:rPr>
      </w:pPr>
      <w:r>
        <w:t xml:space="preserve">1. Внести в </w:t>
      </w:r>
      <w:r>
        <w:rPr>
          <w:color w:val="000000"/>
        </w:rPr>
        <w:t xml:space="preserve">Порядок назначения и проведения собрания граждан в муниципальном образовании </w:t>
      </w:r>
      <w:r>
        <w:rPr>
          <w:color w:val="000000"/>
        </w:rPr>
        <w:t xml:space="preserve">«</w:t>
      </w:r>
      <w:r>
        <w:rPr>
          <w:color w:val="000000"/>
        </w:rPr>
        <w:t xml:space="preserve">Тайшетский</w:t>
      </w:r>
      <w:r>
        <w:rPr>
          <w:color w:val="000000"/>
        </w:rPr>
        <w:t xml:space="preserve"> муниципальный округ Иркутской области», проводимого в целях обсуждения вопросов внесения инициативных проектов и их рассмотрения, утвержденный решением Думы </w:t>
      </w:r>
      <w:r>
        <w:rPr>
          <w:color w:val="000000"/>
        </w:rPr>
        <w:t xml:space="preserve">Тайшетского</w:t>
      </w:r>
      <w:r>
        <w:rPr>
          <w:color w:val="000000"/>
        </w:rPr>
        <w:t xml:space="preserve"> муниципального округа Иркутской области</w:t>
      </w:r>
      <w:r>
        <w:rPr>
          <w:color w:val="000000"/>
        </w:rPr>
        <w:t xml:space="preserve"> от 27 февраля 2026 года № 206, сле</w:t>
      </w:r>
      <w:r>
        <w:rPr>
          <w:color w:val="000000"/>
        </w:rPr>
        <w:t xml:space="preserve">дующие изменения:</w:t>
      </w:r>
      <w:r>
        <w:rPr>
          <w:color w:val="000000"/>
        </w:rPr>
      </w:r>
    </w:p>
    <w:p>
      <w:pPr>
        <w:contextualSpacing/>
        <w:ind w:firstLine="567"/>
        <w:jc w:val="both"/>
        <w:widowControl w:val="off"/>
      </w:pPr>
      <w:r>
        <w:rPr>
          <w:color w:val="000000"/>
        </w:rPr>
        <w:t xml:space="preserve">в пункте 14 главы 2 слово «очередном» исключить.</w:t>
      </w:r>
      <w:r/>
    </w:p>
    <w:p>
      <w:pPr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</w:pPr>
      <w:r>
        <w:t xml:space="preserve">2. Опубликовать настоящее решение в Бюллетене нормативных правовых актов </w:t>
      </w:r>
      <w:r>
        <w:t xml:space="preserve">Тайшетского</w:t>
      </w:r>
      <w:r>
        <w:t xml:space="preserve"> муниципального округа «Официальная среда», разместить на официальном сайте Администрации </w:t>
      </w:r>
      <w:r>
        <w:t xml:space="preserve">Тайшетского</w:t>
      </w:r>
      <w:r>
        <w:t xml:space="preserve"> мун</w:t>
      </w:r>
      <w:r>
        <w:t xml:space="preserve">иципального округа и в сетевом издании «Портал </w:t>
      </w:r>
      <w:r>
        <w:rPr>
          <w:color w:val="000000"/>
        </w:rPr>
        <w:t xml:space="preserve">правовой информации Администрации </w:t>
      </w:r>
      <w:r>
        <w:rPr>
          <w:color w:val="000000"/>
        </w:rPr>
        <w:t xml:space="preserve">Тайшетского</w:t>
      </w:r>
      <w:r>
        <w:rPr>
          <w:color w:val="000000"/>
        </w:rPr>
        <w:t xml:space="preserve"> муниципального округа» (</w:t>
      </w:r>
      <w:hyperlink r:id="rId10" w:tooltip="https://npa-tr.ru/" w:history="1">
        <w:r>
          <w:rPr>
            <w:rStyle w:val="849"/>
            <w:color w:val="000000"/>
            <w:u w:val="none"/>
          </w:rPr>
          <w:t xml:space="preserve">https://npa-tr.ru</w:t>
        </w:r>
      </w:hyperlink>
      <w:r>
        <w:rPr>
          <w:color w:val="000000"/>
        </w:rPr>
        <w:t xml:space="preserve">).</w:t>
      </w:r>
      <w:r/>
    </w:p>
    <w:p>
      <w:pPr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</w:pPr>
      <w:r>
        <w:t xml:space="preserve">3. Настоящее решение вступает в силу со дня его принятия.</w:t>
      </w:r>
      <w:r/>
    </w:p>
    <w:p>
      <w:pPr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</w:pPr>
      <w:r/>
      <w:r/>
    </w:p>
    <w:p>
      <w:pPr>
        <w:contextualSpacing/>
        <w:ind w:firstLine="567"/>
        <w:jc w:val="both"/>
        <w:spacing w:line="276" w:lineRule="auto"/>
        <w:widowControl w:val="off"/>
        <w:tabs>
          <w:tab w:val="left" w:pos="993" w:leader="none"/>
        </w:tabs>
      </w:pPr>
      <w:r/>
      <w:r/>
    </w:p>
    <w:p>
      <w:pPr>
        <w:jc w:val="both"/>
        <w:spacing w:line="276" w:lineRule="auto"/>
      </w:pPr>
      <w:r>
        <w:t xml:space="preserve">Председатель Думы  </w:t>
      </w:r>
      <w:r/>
    </w:p>
    <w:p>
      <w:pPr>
        <w:jc w:val="both"/>
        <w:spacing w:line="276" w:lineRule="auto"/>
      </w:pPr>
      <w:r>
        <w:t xml:space="preserve">Тайш</w:t>
      </w:r>
      <w:r>
        <w:t xml:space="preserve">етского</w:t>
      </w:r>
      <w:r>
        <w:t xml:space="preserve"> муниципального округа                                                                   И.В. </w:t>
      </w:r>
      <w:r>
        <w:t xml:space="preserve">Ронжина</w:t>
      </w:r>
      <w:r/>
    </w:p>
    <w:p>
      <w:pPr>
        <w:jc w:val="both"/>
        <w:spacing w:line="276" w:lineRule="auto"/>
      </w:pPr>
      <w:r/>
      <w:r/>
    </w:p>
    <w:p>
      <w:pPr>
        <w:jc w:val="both"/>
        <w:spacing w:line="276" w:lineRule="auto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jc w:val="both"/>
        <w:spacing w:line="276" w:lineRule="auto"/>
      </w:pPr>
      <w:r/>
      <w:r/>
    </w:p>
    <w:p>
      <w:pPr>
        <w:jc w:val="both"/>
        <w:spacing w:line="276" w:lineRule="auto"/>
      </w:pPr>
      <w:r>
        <w:t xml:space="preserve">Мэр </w:t>
      </w:r>
      <w:r>
        <w:t xml:space="preserve">Тайшетского</w:t>
      </w:r>
      <w:r>
        <w:t xml:space="preserve"> муниципального округа                 </w:t>
      </w:r>
      <w:bookmarkStart w:id="0" w:name="_GoBack"/>
      <w:r/>
      <w:bookmarkEnd w:id="0"/>
      <w:r>
        <w:t xml:space="preserve">                                               А.С.</w:t>
      </w:r>
      <w:r>
        <w:t xml:space="preserve"> </w:t>
      </w:r>
      <w:r>
        <w:t xml:space="preserve">Кузин</w:t>
      </w:r>
      <w:r/>
    </w:p>
    <w:sectPr>
      <w:footerReference w:type="default" r:id="rId8"/>
      <w:footerReference w:type="first" r:id="rId9"/>
      <w:footnotePr/>
      <w:endnotePr/>
      <w:type w:val="nextPage"/>
      <w:pgSz w:w="11906" w:h="16838" w:orient="portrait"/>
      <w:pgMar w:top="1134" w:right="851" w:bottom="1134" w:left="1701" w:header="72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Courier New">
    <w:panose1 w:val="02070409020205020404"/>
  </w:font>
  <w:font w:name="Tahoma">
    <w:panose1 w:val="020B0604030504040204"/>
  </w:font>
  <w:font w:name="Noto Sans Devanagari">
    <w:panose1 w:val="020B0502040504020204"/>
  </w:font>
  <w:font w:name="Calibri">
    <w:panose1 w:val="020F0502020204030204"/>
  </w:font>
  <w:font w:name="Arial Unicode MS">
    <w:panose1 w:val="020B0604020202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9"/>
      <w:jc w:val="right"/>
    </w:pPr>
    <w:r/>
    <w:r/>
  </w:p>
  <w:p>
    <w:pPr>
      <w:pStyle w:val="719"/>
      <w:jc w:val="right"/>
    </w:pPr>
    <w:r/>
    <w:r/>
  </w:p>
  <w:p>
    <w:pPr>
      <w:pStyle w:val="719"/>
    </w:pPr>
    <w:r/>
    <w:r/>
  </w:p>
  <w:p>
    <w:pPr>
      <w:pStyle w:val="71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5"/>
    <w:link w:val="68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5"/>
    <w:link w:val="68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5"/>
    <w:link w:val="68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5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5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5"/>
    <w:link w:val="709"/>
    <w:uiPriority w:val="10"/>
    <w:rPr>
      <w:sz w:val="48"/>
      <w:szCs w:val="48"/>
    </w:rPr>
  </w:style>
  <w:style w:type="character" w:styleId="37">
    <w:name w:val="Subtitle Char"/>
    <w:basedOn w:val="695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3">
    <w:name w:val="Header Char"/>
    <w:basedOn w:val="695"/>
    <w:link w:val="717"/>
    <w:uiPriority w:val="99"/>
  </w:style>
  <w:style w:type="character" w:styleId="45">
    <w:name w:val="Footer Char"/>
    <w:basedOn w:val="695"/>
    <w:link w:val="719"/>
    <w:uiPriority w:val="99"/>
  </w:style>
  <w:style w:type="character" w:styleId="47">
    <w:name w:val="Caption Char"/>
    <w:basedOn w:val="695"/>
    <w:link w:val="721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50"/>
    <w:uiPriority w:val="99"/>
    <w:rPr>
      <w:sz w:val="18"/>
    </w:rPr>
  </w:style>
  <w:style w:type="character" w:styleId="179">
    <w:name w:val="Endnote Text Char"/>
    <w:link w:val="853"/>
    <w:uiPriority w:val="99"/>
    <w:rPr>
      <w:sz w:val="20"/>
    </w:rPr>
  </w:style>
  <w:style w:type="paragraph" w:styleId="685" w:default="1">
    <w:name w:val="Normal"/>
    <w:qFormat/>
    <w:rPr>
      <w:sz w:val="24"/>
      <w:szCs w:val="24"/>
    </w:rPr>
  </w:style>
  <w:style w:type="paragraph" w:styleId="686">
    <w:name w:val="Heading 1"/>
    <w:basedOn w:val="685"/>
    <w:next w:val="685"/>
    <w:link w:val="69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685"/>
    <w:next w:val="685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9">
    <w:name w:val="Heading 4"/>
    <w:basedOn w:val="685"/>
    <w:next w:val="685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1">
    <w:name w:val="Heading 6"/>
    <w:basedOn w:val="685"/>
    <w:next w:val="685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685"/>
    <w:next w:val="685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685"/>
    <w:next w:val="685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685"/>
    <w:next w:val="685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Заголовок 1 Знак"/>
    <w:link w:val="686"/>
    <w:uiPriority w:val="9"/>
    <w:rPr>
      <w:rFonts w:ascii="Arial" w:hAnsi="Arial" w:eastAsia="Arial" w:cs="Arial"/>
      <w:sz w:val="40"/>
      <w:szCs w:val="40"/>
    </w:rPr>
  </w:style>
  <w:style w:type="character" w:styleId="699" w:customStyle="1">
    <w:name w:val="Заголовок 2 Знак"/>
    <w:link w:val="687"/>
    <w:uiPriority w:val="9"/>
    <w:rPr>
      <w:rFonts w:ascii="Arial" w:hAnsi="Arial" w:eastAsia="Arial" w:cs="Arial"/>
      <w:sz w:val="34"/>
    </w:rPr>
  </w:style>
  <w:style w:type="character" w:styleId="700" w:customStyle="1">
    <w:name w:val="Заголовок 3 Знак"/>
    <w:link w:val="688"/>
    <w:uiPriority w:val="9"/>
    <w:rPr>
      <w:rFonts w:ascii="Arial" w:hAnsi="Arial" w:eastAsia="Arial" w:cs="Arial"/>
      <w:sz w:val="30"/>
      <w:szCs w:val="30"/>
    </w:rPr>
  </w:style>
  <w:style w:type="character" w:styleId="701" w:customStyle="1">
    <w:name w:val="Заголовок 4 Знак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Заголовок 5 Знак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Заголовок 6 Знак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Заголовок 7 Знак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Заголовок 8 Знак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Заголовок 9 Знак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List Paragraph"/>
    <w:basedOn w:val="685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</w:rPr>
  </w:style>
  <w:style w:type="paragraph" w:styleId="708">
    <w:name w:val="No Spacing"/>
    <w:qFormat/>
    <w:rPr>
      <w:sz w:val="24"/>
      <w:szCs w:val="24"/>
    </w:rPr>
  </w:style>
  <w:style w:type="paragraph" w:styleId="709">
    <w:name w:val="Title"/>
    <w:basedOn w:val="685"/>
    <w:next w:val="879"/>
    <w:link w:val="71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character" w:styleId="710" w:customStyle="1">
    <w:name w:val="Заголовок Знак"/>
    <w:link w:val="709"/>
    <w:uiPriority w:val="10"/>
    <w:rPr>
      <w:sz w:val="48"/>
      <w:szCs w:val="48"/>
    </w:rPr>
  </w:style>
  <w:style w:type="paragraph" w:styleId="711">
    <w:name w:val="Subtitle"/>
    <w:basedOn w:val="685"/>
    <w:next w:val="685"/>
    <w:link w:val="712"/>
    <w:uiPriority w:val="11"/>
    <w:qFormat/>
    <w:pPr>
      <w:spacing w:before="200" w:after="200"/>
    </w:pPr>
  </w:style>
  <w:style w:type="character" w:styleId="712" w:customStyle="1">
    <w:name w:val="Подзаголовок Знак"/>
    <w:link w:val="711"/>
    <w:uiPriority w:val="11"/>
    <w:rPr>
      <w:sz w:val="24"/>
      <w:szCs w:val="24"/>
    </w:rPr>
  </w:style>
  <w:style w:type="paragraph" w:styleId="713">
    <w:name w:val="Quote"/>
    <w:basedOn w:val="685"/>
    <w:next w:val="685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5"/>
    <w:next w:val="685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paragraph" w:styleId="717">
    <w:name w:val="Header"/>
    <w:basedOn w:val="685"/>
    <w:link w:val="718"/>
    <w:pPr>
      <w:tabs>
        <w:tab w:val="center" w:pos="4677" w:leader="none"/>
        <w:tab w:val="right" w:pos="9355" w:leader="none"/>
      </w:tabs>
    </w:pPr>
  </w:style>
  <w:style w:type="character" w:styleId="718" w:customStyle="1">
    <w:name w:val="Верхний колонтитул Знак1"/>
    <w:link w:val="717"/>
    <w:uiPriority w:val="99"/>
  </w:style>
  <w:style w:type="paragraph" w:styleId="719">
    <w:name w:val="Footer"/>
    <w:basedOn w:val="685"/>
    <w:link w:val="720"/>
    <w:pPr>
      <w:tabs>
        <w:tab w:val="center" w:pos="4677" w:leader="none"/>
        <w:tab w:val="right" w:pos="9355" w:leader="none"/>
      </w:tabs>
    </w:pPr>
  </w:style>
  <w:style w:type="character" w:styleId="720" w:customStyle="1">
    <w:name w:val="Нижний колонтитул Знак1"/>
    <w:link w:val="719"/>
    <w:uiPriority w:val="99"/>
  </w:style>
  <w:style w:type="paragraph" w:styleId="721">
    <w:name w:val="Caption"/>
    <w:basedOn w:val="685"/>
    <w:link w:val="722"/>
    <w:qFormat/>
    <w:pPr>
      <w:spacing w:before="120" w:after="120"/>
      <w:suppressLineNumbers/>
    </w:pPr>
    <w:rPr>
      <w:rFonts w:ascii="PT Astra Serif" w:hAnsi="PT Astra Serif" w:cs="Noto Sans Devanagari"/>
      <w:i/>
      <w:iCs/>
    </w:rPr>
  </w:style>
  <w:style w:type="character" w:styleId="722" w:customStyle="1">
    <w:name w:val="Название объекта Знак"/>
    <w:link w:val="721"/>
    <w:uiPriority w:val="35"/>
    <w:rPr>
      <w:b/>
      <w:bCs/>
      <w:color w:val="4f81bd" w:themeColor="accent1"/>
      <w:sz w:val="18"/>
      <w:szCs w:val="18"/>
    </w:rPr>
  </w:style>
  <w:style w:type="table" w:styleId="723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9">
    <w:name w:val="Hyperlink"/>
    <w:rPr>
      <w:color w:val="0000ff"/>
      <w:u w:val="single"/>
    </w:rPr>
  </w:style>
  <w:style w:type="paragraph" w:styleId="850">
    <w:name w:val="footnote text"/>
    <w:basedOn w:val="685"/>
    <w:link w:val="851"/>
    <w:uiPriority w:val="99"/>
    <w:semiHidden/>
    <w:unhideWhenUsed/>
    <w:pPr>
      <w:spacing w:after="40"/>
    </w:pPr>
    <w:rPr>
      <w:sz w:val="18"/>
    </w:rPr>
  </w:style>
  <w:style w:type="character" w:styleId="851" w:customStyle="1">
    <w:name w:val="Текст сноски Знак"/>
    <w:link w:val="850"/>
    <w:uiPriority w:val="99"/>
    <w:rPr>
      <w:sz w:val="18"/>
    </w:rPr>
  </w:style>
  <w:style w:type="character" w:styleId="852">
    <w:name w:val="footnote reference"/>
    <w:uiPriority w:val="99"/>
    <w:unhideWhenUsed/>
    <w:rPr>
      <w:vertAlign w:val="superscript"/>
    </w:rPr>
  </w:style>
  <w:style w:type="paragraph" w:styleId="853">
    <w:name w:val="endnote text"/>
    <w:basedOn w:val="685"/>
    <w:link w:val="854"/>
    <w:uiPriority w:val="99"/>
    <w:semiHidden/>
    <w:unhideWhenUsed/>
    <w:rPr>
      <w:sz w:val="20"/>
    </w:rPr>
  </w:style>
  <w:style w:type="character" w:styleId="854" w:customStyle="1">
    <w:name w:val="Текст концевой сноски Знак"/>
    <w:link w:val="853"/>
    <w:uiPriority w:val="99"/>
    <w:rPr>
      <w:sz w:val="20"/>
    </w:rPr>
  </w:style>
  <w:style w:type="character" w:styleId="855">
    <w:name w:val="endnote reference"/>
    <w:uiPriority w:val="99"/>
    <w:semiHidden/>
    <w:unhideWhenUsed/>
    <w:rPr>
      <w:vertAlign w:val="superscript"/>
    </w:rPr>
  </w:style>
  <w:style w:type="paragraph" w:styleId="856">
    <w:name w:val="toc 1"/>
    <w:basedOn w:val="685"/>
    <w:next w:val="685"/>
    <w:uiPriority w:val="39"/>
    <w:unhideWhenUsed/>
    <w:pPr>
      <w:spacing w:after="57"/>
    </w:pPr>
  </w:style>
  <w:style w:type="paragraph" w:styleId="857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858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859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860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861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862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863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864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685"/>
    <w:next w:val="685"/>
    <w:uiPriority w:val="99"/>
    <w:unhideWhenUsed/>
  </w:style>
  <w:style w:type="character" w:styleId="867" w:customStyle="1">
    <w:name w:val="WW8Num1z0"/>
  </w:style>
  <w:style w:type="character" w:styleId="868" w:customStyle="1">
    <w:name w:val="WW8Num2z0"/>
  </w:style>
  <w:style w:type="character" w:styleId="869" w:customStyle="1">
    <w:name w:val="WW8Num3z0"/>
  </w:style>
  <w:style w:type="character" w:styleId="870" w:customStyle="1">
    <w:name w:val="WW8Num3z1"/>
    <w:rPr>
      <w:i w:val="0"/>
      <w:color w:val="000000"/>
    </w:rPr>
  </w:style>
  <w:style w:type="character" w:styleId="871" w:customStyle="1">
    <w:name w:val="Основной шрифт абзаца1"/>
  </w:style>
  <w:style w:type="character" w:styleId="872" w:customStyle="1">
    <w:name w:val="Символ сноски"/>
    <w:rPr>
      <w:vertAlign w:val="superscript"/>
    </w:rPr>
  </w:style>
  <w:style w:type="character" w:styleId="873">
    <w:name w:val="Strong"/>
    <w:qFormat/>
    <w:rPr>
      <w:b/>
      <w:bCs/>
    </w:rPr>
  </w:style>
  <w:style w:type="character" w:styleId="874" w:customStyle="1">
    <w:name w:val="Текст выноски Знак"/>
    <w:rPr>
      <w:rFonts w:ascii="Tahoma" w:hAnsi="Tahoma" w:cs="Tahoma"/>
      <w:sz w:val="16"/>
      <w:szCs w:val="16"/>
    </w:rPr>
  </w:style>
  <w:style w:type="character" w:styleId="875" w:customStyle="1">
    <w:name w:val="Основной текст 2 Знак"/>
  </w:style>
  <w:style w:type="character" w:styleId="876" w:customStyle="1">
    <w:name w:val="Верхний колонтитул Знак"/>
    <w:rPr>
      <w:sz w:val="24"/>
      <w:szCs w:val="24"/>
    </w:rPr>
  </w:style>
  <w:style w:type="character" w:styleId="877" w:customStyle="1">
    <w:name w:val="Нижний колонтитул Знак"/>
    <w:rPr>
      <w:sz w:val="24"/>
      <w:szCs w:val="24"/>
    </w:rPr>
  </w:style>
  <w:style w:type="character" w:styleId="878" w:customStyle="1">
    <w:name w:val="Основной текст_"/>
    <w:rPr>
      <w:spacing w:val="3"/>
      <w:shd w:val="clear" w:color="auto" w:fill="ffffff"/>
    </w:rPr>
  </w:style>
  <w:style w:type="paragraph" w:styleId="879">
    <w:name w:val="Body Text"/>
    <w:basedOn w:val="685"/>
    <w:pPr>
      <w:spacing w:after="140" w:line="276" w:lineRule="auto"/>
    </w:pPr>
  </w:style>
  <w:style w:type="paragraph" w:styleId="880">
    <w:name w:val="List"/>
    <w:basedOn w:val="879"/>
    <w:rPr>
      <w:rFonts w:ascii="PT Astra Serif" w:hAnsi="PT Astra Serif" w:cs="Noto Sans Devanagari"/>
    </w:rPr>
  </w:style>
  <w:style w:type="paragraph" w:styleId="881" w:customStyle="1">
    <w:name w:val="Указатель1"/>
    <w:basedOn w:val="685"/>
    <w:pPr>
      <w:suppressLineNumbers/>
    </w:pPr>
    <w:rPr>
      <w:rFonts w:ascii="PT Astra Serif" w:hAnsi="PT Astra Serif" w:cs="Noto Sans Devanagari"/>
    </w:rPr>
  </w:style>
  <w:style w:type="paragraph" w:styleId="882" w:customStyle="1">
    <w:name w:val="caption1"/>
    <w:basedOn w:val="685"/>
    <w:pPr>
      <w:spacing w:before="120" w:after="120"/>
      <w:suppressLineNumbers/>
    </w:pPr>
    <w:rPr>
      <w:rFonts w:ascii="PT Astra Serif" w:hAnsi="PT Astra Serif" w:cs="Noto Sans Devanagari"/>
      <w:i/>
      <w:iCs/>
    </w:rPr>
  </w:style>
  <w:style w:type="paragraph" w:styleId="883">
    <w:name w:val="Balloon Text"/>
    <w:basedOn w:val="685"/>
    <w:rPr>
      <w:rFonts w:ascii="Tahoma" w:hAnsi="Tahoma" w:cs="Tahoma"/>
      <w:sz w:val="16"/>
      <w:szCs w:val="16"/>
    </w:rPr>
  </w:style>
  <w:style w:type="paragraph" w:styleId="884" w:customStyle="1">
    <w:name w:val="Основной текст 21"/>
    <w:basedOn w:val="685"/>
    <w:pPr>
      <w:spacing w:after="120" w:line="480" w:lineRule="auto"/>
    </w:pPr>
    <w:rPr>
      <w:sz w:val="20"/>
      <w:szCs w:val="20"/>
    </w:rPr>
  </w:style>
  <w:style w:type="paragraph" w:styleId="885" w:customStyle="1">
    <w:name w:val="Header and Footer"/>
    <w:basedOn w:val="685"/>
    <w:pPr>
      <w:tabs>
        <w:tab w:val="center" w:pos="4819" w:leader="none"/>
        <w:tab w:val="right" w:pos="9638" w:leader="none"/>
      </w:tabs>
      <w:suppressLineNumbers/>
    </w:pPr>
  </w:style>
  <w:style w:type="paragraph" w:styleId="886">
    <w:name w:val="Normal (Web)"/>
    <w:basedOn w:val="685"/>
    <w:pPr>
      <w:spacing w:before="100" w:after="100"/>
    </w:pPr>
  </w:style>
  <w:style w:type="paragraph" w:styleId="887" w:customStyle="1">
    <w:name w:val="ConsNormal"/>
    <w:pPr>
      <w:ind w:firstLine="720"/>
    </w:pPr>
    <w:rPr>
      <w:rFonts w:ascii="Arial" w:hAnsi="Arial" w:cs="Arial"/>
    </w:rPr>
  </w:style>
  <w:style w:type="paragraph" w:styleId="888" w:customStyle="1">
    <w:name w:val="ConsNonformat"/>
    <w:pPr>
      <w:ind w:right="19772"/>
    </w:pPr>
    <w:rPr>
      <w:rFonts w:ascii="Courier New" w:hAnsi="Courier New" w:cs="Courier New"/>
    </w:rPr>
  </w:style>
  <w:style w:type="paragraph" w:styleId="889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890" w:customStyle="1">
    <w:name w:val="Основной текст2"/>
    <w:basedOn w:val="685"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891" w:customStyle="1">
    <w:name w:val="Абзац списка1"/>
    <w:basedOn w:val="685"/>
    <w:pPr>
      <w:contextualSpacing/>
      <w:ind w:left="720"/>
      <w:spacing w:after="160" w:line="254" w:lineRule="auto"/>
    </w:pPr>
    <w:rPr>
      <w:rFonts w:ascii="Droid Sans" w:hAnsi="Droid Sans" w:eastAsia="Droid Sans" w:cs="Arial"/>
      <w:sz w:val="22"/>
      <w:szCs w:val="22"/>
    </w:rPr>
  </w:style>
  <w:style w:type="paragraph" w:styleId="892" w:customStyle="1">
    <w:name w:val="Основной текст1"/>
    <w:basedOn w:val="685"/>
    <w:pPr>
      <w:ind w:firstLine="400"/>
      <w:widowControl w:val="off"/>
    </w:pPr>
    <w:rPr>
      <w:sz w:val="22"/>
      <w:szCs w:val="22"/>
    </w:rPr>
  </w:style>
  <w:style w:type="paragraph" w:styleId="893" w:customStyle="1">
    <w:name w:val="Standard"/>
    <w:rPr>
      <w:sz w:val="24"/>
      <w:szCs w:val="24"/>
      <w:lang w:val="en-US"/>
    </w:rPr>
  </w:style>
  <w:style w:type="paragraph" w:styleId="894" w:customStyle="1">
    <w:name w:val="Содержимое таблицы"/>
    <w:basedOn w:val="685"/>
    <w:pPr>
      <w:widowControl w:val="off"/>
      <w:suppressLineNumbers/>
    </w:pPr>
  </w:style>
  <w:style w:type="paragraph" w:styleId="895" w:customStyle="1">
    <w:name w:val="Заголовок таблицы"/>
    <w:basedOn w:val="894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hyperlink" Target="https://npa-t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6</cp:revision>
  <dcterms:created xsi:type="dcterms:W3CDTF">2025-12-03T08:25:00Z</dcterms:created>
  <dcterms:modified xsi:type="dcterms:W3CDTF">2026-07-23T08:55:22Z</dcterms:modified>
  <cp:version>983040</cp:version>
</cp:coreProperties>
</file>