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ПРОЕКТ</w:t>
      </w:r>
    </w:p>
    <w:p>
      <w:pPr>
        <w:pStyle w:val="Normal"/>
        <w:jc w:val="center"/>
        <w:rPr/>
      </w:pPr>
      <w:r>
        <w:rPr/>
        <w:t>Р О С С И Й С К А Я   Ф Е Д Е Р А Ц И Я</w:t>
      </w:r>
    </w:p>
    <w:p>
      <w:pPr>
        <w:pStyle w:val="Normal"/>
        <w:jc w:val="center"/>
        <w:rPr/>
      </w:pPr>
      <w:r>
        <w:rPr/>
        <w:t>ИРКУТСКАЯ ОБЛАСТЬ</w:t>
      </w:r>
    </w:p>
    <w:p>
      <w:pPr>
        <w:pStyle w:val="Normal"/>
        <w:jc w:val="center"/>
        <w:rPr/>
      </w:pPr>
      <w:r>
        <w:rPr/>
        <w:t>АДМИНИСТРАЦИЯ  МУНИЦИПАЛЬНОГО ОБРАЗОВАНИЯ</w:t>
      </w:r>
    </w:p>
    <w:p>
      <w:pPr>
        <w:pStyle w:val="Normal"/>
        <w:jc w:val="center"/>
        <w:rPr/>
      </w:pPr>
      <w:r>
        <w:rPr/>
        <w:t>«УСТЬ-ИЛИМСКИЙ   РАЙОН»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КОМИТЕТ ПО УПРАВЛЕНИЮ ИМУЩЕСТВОМ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numPr>
          <w:ilvl w:val="0"/>
          <w:numId w:val="4"/>
        </w:numPr>
        <w:rPr>
          <w:sz w:val="28"/>
        </w:rPr>
      </w:pPr>
      <w:r>
        <w:rPr>
          <w:b w:val="false"/>
        </w:rPr>
        <w:t>РАСПОРЯЖЕНИЕ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______.2023                                                                                                                     № _____</w:t>
      </w:r>
    </w:p>
    <w:p>
      <w:pPr>
        <w:pStyle w:val="Normal"/>
        <w:jc w:val="center"/>
        <w:rPr>
          <w:b/>
          <w:b/>
        </w:rPr>
      </w:pPr>
      <w:r>
        <w:rPr/>
        <w:t>г. Усть-Илимск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  <w:t xml:space="preserve">Об утверждении программы  «Профилактика рисков </w:t>
      </w:r>
    </w:p>
    <w:p>
      <w:pPr>
        <w:pStyle w:val="Normal"/>
        <w:rPr/>
      </w:pPr>
      <w:r>
        <w:rPr/>
        <w:t xml:space="preserve">причинения вреда (ущерба) охраняемым законом ценностям </w:t>
      </w:r>
    </w:p>
    <w:p>
      <w:pPr>
        <w:pStyle w:val="Normal"/>
        <w:rPr/>
      </w:pPr>
      <w:r>
        <w:rPr>
          <w:lang w:eastAsia="ru-RU"/>
        </w:rPr>
        <w:t>по муниципальному земельному контролю в</w:t>
      </w:r>
      <w:r>
        <w:rPr/>
        <w:t xml:space="preserve"> муниципальном </w:t>
      </w:r>
    </w:p>
    <w:p>
      <w:pPr>
        <w:pStyle w:val="Normal"/>
        <w:rPr/>
      </w:pPr>
      <w:r>
        <w:rPr/>
        <w:t>образовании «Усть-Илимский район» на 2024 год»</w:t>
      </w:r>
    </w:p>
    <w:p>
      <w:pPr>
        <w:pStyle w:val="ListParagraph"/>
        <w:tabs>
          <w:tab w:val="left" w:pos="993" w:leader="none"/>
        </w:tabs>
        <w:ind w:left="1068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708"/>
        <w:jc w:val="both"/>
        <w:rPr/>
      </w:pPr>
      <w:r>
        <w:rPr/>
        <w:t xml:space="preserve">В соответствии со статьей 44 Федерального закона от 31.07.2020 № 248-ФЗ           «О государственном контроле (надзоре) и муниципальном контроле в Российской </w:t>
      </w:r>
      <w:r>
        <w:rPr>
          <w:color w:val="00000A"/>
        </w:rPr>
        <w:t>Федерации», Федеральным законом от 06.10.2003 № 131-ФЗ «Об общих принципах организации местного самоуправления в Российской Федерации», постановлением</w:t>
      </w:r>
      <w:r>
        <w:rPr/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eastAsia="Calibri" w:eastAsiaTheme="minorHAnsi"/>
          <w:lang w:eastAsia="en-US"/>
        </w:rPr>
        <w:t>в соответствии с Положением  о Комитете по управлению имуществом администрации муниципального образования «Усть-Илимский район», утвержденного решением Думы муниципального образования «Усть-Илимский район» от 30.03.2017 №19/3</w:t>
      </w:r>
      <w:r>
        <w:rPr/>
        <w:t>,</w:t>
      </w:r>
    </w:p>
    <w:p>
      <w:pPr>
        <w:pStyle w:val="ListParagraph"/>
        <w:tabs>
          <w:tab w:val="left" w:pos="993" w:leader="none"/>
        </w:tabs>
        <w:ind w:left="1068" w:hanging="0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ind w:left="708" w:hanging="0"/>
        <w:jc w:val="center"/>
        <w:rPr/>
      </w:pPr>
      <w:r>
        <w:rPr/>
      </w:r>
    </w:p>
    <w:p>
      <w:pPr>
        <w:pStyle w:val="ListParagraph"/>
        <w:tabs>
          <w:tab w:val="left" w:pos="993" w:leader="none"/>
        </w:tabs>
        <w:ind w:left="1068" w:hanging="0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Spacing"/>
        <w:numPr>
          <w:ilvl w:val="0"/>
          <w:numId w:val="2"/>
        </w:numPr>
        <w:ind w:left="0" w:firstLine="708"/>
        <w:rPr/>
      </w:pPr>
      <w:r>
        <w:rPr>
          <w:lang w:val="ru-RU" w:eastAsia="fa-IR" w:bidi="fa-IR"/>
        </w:rPr>
        <w:t xml:space="preserve">Утвердить программу </w:t>
      </w:r>
      <w:r>
        <w:rPr>
          <w:lang w:val="ru-RU"/>
        </w:rPr>
        <w:t xml:space="preserve">«Профилактика рисков причинения вреда (ущерба) охраняемым законом ценностям </w:t>
      </w:r>
      <w:r>
        <w:rPr>
          <w:lang w:val="ru-RU" w:eastAsia="ru-RU"/>
        </w:rPr>
        <w:t>по муниципальному земельному контролю в</w:t>
      </w:r>
      <w:r>
        <w:rPr>
          <w:lang w:val="ru-RU"/>
        </w:rPr>
        <w:t xml:space="preserve"> муниципальном образовании «Усть-Илимский район» на 2024 год»</w:t>
      </w:r>
      <w:r>
        <w:rPr>
          <w:lang w:val="ru-RU" w:eastAsia="fa-IR" w:bidi="fa-IR"/>
        </w:rPr>
        <w:t xml:space="preserve"> согласно приложению.</w:t>
      </w:r>
    </w:p>
    <w:p>
      <w:pPr>
        <w:pStyle w:val="NoSpacing"/>
        <w:numPr>
          <w:ilvl w:val="0"/>
          <w:numId w:val="2"/>
        </w:numPr>
        <w:ind w:left="0" w:firstLine="708"/>
        <w:rPr/>
      </w:pPr>
      <w:r>
        <w:rPr>
          <w:lang w:val="ru-RU" w:eastAsia="fa-IR" w:bidi="fa-IR"/>
        </w:rPr>
        <w:t>Настоящее распоряжение  вступает в силу с 01.01.2024 года.</w:t>
      </w:r>
    </w:p>
    <w:p>
      <w:pPr>
        <w:pStyle w:val="NoSpacing"/>
        <w:numPr>
          <w:ilvl w:val="0"/>
          <w:numId w:val="2"/>
        </w:numPr>
        <w:ind w:left="0" w:firstLine="708"/>
        <w:rPr/>
      </w:pPr>
      <w:r>
        <w:rPr>
          <w:lang w:val="ru-RU"/>
        </w:rPr>
        <w:t xml:space="preserve">Признать утратившим силу распоряжение Комитета по управлению имуществом администрации муниципального образования «Усть-Илимский район» от 30.11.2022 № 233 «Об утверждении программы  «Профилактика рисков причинения вреда (ущерба) охраняемым законом ценностям </w:t>
      </w:r>
      <w:r>
        <w:rPr>
          <w:lang w:val="ru-RU" w:eastAsia="ru-RU"/>
        </w:rPr>
        <w:t>по муниципальному земельному контролю в</w:t>
      </w:r>
      <w:r>
        <w:rPr>
          <w:lang w:val="ru-RU"/>
        </w:rPr>
        <w:t xml:space="preserve"> муниципальном образовании «Усть-Илимский район» на 2023 год» с 01.01.2024 года.</w:t>
      </w:r>
    </w:p>
    <w:p>
      <w:pPr>
        <w:pStyle w:val="NoSpacing"/>
        <w:numPr>
          <w:ilvl w:val="0"/>
          <w:numId w:val="2"/>
        </w:numPr>
        <w:ind w:left="0" w:firstLine="708"/>
        <w:rPr>
          <w:lang w:val="ru-RU" w:eastAsia="fa-IR" w:bidi="fa-IR"/>
        </w:rPr>
      </w:pPr>
      <w:r>
        <w:rPr>
          <w:lang w:val="ru-RU"/>
        </w:rPr>
        <w:t xml:space="preserve">Разместить настоящее распоряжение на официальном сайте </w:t>
      </w:r>
      <w:r>
        <w:rPr>
          <w:bCs/>
          <w:lang w:val="ru-RU"/>
        </w:rPr>
        <w:t xml:space="preserve"> </w:t>
      </w:r>
      <w:r>
        <w:rPr>
          <w:lang w:val="ru-RU"/>
        </w:rPr>
        <w:t>Администрации муниципального образования «Усть-Илимский район» в информационно-телекоммуникационной сети «Интернет».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Cs/>
        </w:rPr>
      </w:pPr>
      <w:r>
        <w:rPr>
          <w:bCs/>
        </w:rPr>
        <w:t>Председатель Комитета по управлению</w:t>
      </w:r>
    </w:p>
    <w:p>
      <w:pPr>
        <w:pStyle w:val="Normal"/>
        <w:jc w:val="both"/>
        <w:rPr>
          <w:bCs/>
        </w:rPr>
      </w:pPr>
      <w:r>
        <w:rPr>
          <w:bCs/>
        </w:rPr>
        <w:t>имуществом администрации муниципального</w:t>
      </w:r>
    </w:p>
    <w:p>
      <w:pPr>
        <w:pStyle w:val="Normal"/>
        <w:jc w:val="both"/>
        <w:rPr/>
      </w:pPr>
      <w:r>
        <w:rPr>
          <w:bCs/>
        </w:rPr>
        <w:t xml:space="preserve">образования «Усть-Илимский район» </w:t>
        <w:tab/>
        <w:t xml:space="preserve">   </w:t>
        <w:tab/>
        <w:tab/>
        <w:t xml:space="preserve">                               А.С. Бубелова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 xml:space="preserve">Приложение </w:t>
      </w:r>
    </w:p>
    <w:p>
      <w:pPr>
        <w:pStyle w:val="Normal"/>
        <w:jc w:val="right"/>
        <w:rPr/>
      </w:pPr>
      <w:r>
        <w:rPr/>
        <w:t>к распоряжению Комитета по управлению</w:t>
      </w:r>
    </w:p>
    <w:p>
      <w:pPr>
        <w:pStyle w:val="Normal"/>
        <w:jc w:val="right"/>
        <w:rPr/>
      </w:pPr>
      <w:r>
        <w:rPr/>
        <w:t>имуществом  администрации</w:t>
      </w:r>
    </w:p>
    <w:p>
      <w:pPr>
        <w:pStyle w:val="Normal"/>
        <w:jc w:val="right"/>
        <w:rPr/>
      </w:pPr>
      <w:r>
        <w:rPr/>
        <w:t>муниципального образования</w:t>
      </w:r>
    </w:p>
    <w:p>
      <w:pPr>
        <w:pStyle w:val="Normal"/>
        <w:jc w:val="right"/>
        <w:rPr/>
      </w:pPr>
      <w:r>
        <w:rPr/>
        <w:t>«Усть-Илимский район»</w:t>
      </w:r>
    </w:p>
    <w:p>
      <w:pPr>
        <w:pStyle w:val="Normal"/>
        <w:jc w:val="right"/>
        <w:rPr/>
      </w:pPr>
      <w:r>
        <w:rPr/>
        <w:t>от__________2023 № _________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lang w:eastAsia="fa-IR" w:bidi="fa-IR"/>
        </w:rPr>
      </w:pPr>
      <w:r>
        <w:rPr>
          <w:lang w:eastAsia="fa-IR" w:bidi="fa-IR"/>
        </w:rPr>
        <w:t xml:space="preserve">Программа  </w:t>
      </w:r>
    </w:p>
    <w:p>
      <w:pPr>
        <w:pStyle w:val="Normal"/>
        <w:jc w:val="center"/>
        <w:rPr/>
      </w:pPr>
      <w:r>
        <w:rPr/>
        <w:t xml:space="preserve">Профилактика рисков причинения вреда (ущерба) охраняемым законом ценностям </w:t>
      </w:r>
      <w:r>
        <w:rPr>
          <w:lang w:eastAsia="ru-RU"/>
        </w:rPr>
        <w:t>по муниципальному земельному контролю в</w:t>
      </w:r>
      <w:r>
        <w:rPr/>
        <w:t xml:space="preserve"> муниципальном образовании «Усть-Илимский район» на 2024 год</w:t>
      </w:r>
    </w:p>
    <w:p>
      <w:pPr>
        <w:pStyle w:val="Normal"/>
        <w:jc w:val="center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1"/>
        <w:rPr>
          <w:lang w:eastAsia="ru-RU"/>
        </w:rPr>
      </w:pPr>
      <w:r>
        <w:rPr>
          <w:lang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>
      <w:pPr>
        <w:pStyle w:val="Normal"/>
        <w:numPr>
          <w:ilvl w:val="0"/>
          <w:numId w:val="0"/>
        </w:numPr>
        <w:jc w:val="center"/>
        <w:outlineLvl w:val="1"/>
        <w:rPr>
          <w:b/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</w:r>
    </w:p>
    <w:p>
      <w:pPr>
        <w:pStyle w:val="Normal"/>
        <w:ind w:firstLine="708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ind w:firstLine="709"/>
        <w:jc w:val="both"/>
        <w:rPr/>
      </w:pPr>
      <w:r>
        <w:rPr/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</w:t>
      </w:r>
      <w:r>
        <w:rPr>
          <w:lang w:eastAsia="ru-RU"/>
        </w:rPr>
        <w:t>в</w:t>
      </w:r>
      <w:r>
        <w:rPr/>
        <w:t xml:space="preserve"> муниципальном образовании «Усть-Илимский район» (далее – муниципальный земельный контроль).</w:t>
      </w:r>
    </w:p>
    <w:p>
      <w:pPr>
        <w:pStyle w:val="Normal"/>
        <w:ind w:firstLine="709"/>
        <w:jc w:val="both"/>
        <w:rPr/>
      </w:pPr>
      <w:r>
        <w:rPr/>
        <w:t>Уполномоченным  органом по осуществлению муниципального земельного контроля является Комитет по управлению имуществом администрации муниципального образования «Усть-Илимский район» (далее - Комитет).</w:t>
      </w:r>
    </w:p>
    <w:p>
      <w:pPr>
        <w:pStyle w:val="Normal"/>
        <w:ind w:firstLine="560"/>
        <w:jc w:val="both"/>
        <w:rPr/>
      </w:pPr>
      <w:r>
        <w:rPr/>
        <w:t>При осуществлении муниципального земельного контроля Комитет осуществляет контроль за соблюдением: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cs="Times New Roman" w:ascii="Times New Roman" w:hAnsi="Times New Roman"/>
          <w:szCs w:val="24"/>
          <w:lang w:val="ru-RU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cs="Times New Roman" w:ascii="Times New Roman" w:hAnsi="Times New Roman"/>
          <w:szCs w:val="24"/>
          <w:lang w:val="ru-RU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cs="Times New Roman" w:ascii="Times New Roman" w:hAnsi="Times New Roman"/>
          <w:szCs w:val="24"/>
          <w:lang w:val="ru-RU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cs="Times New Roman" w:ascii="Times New Roman" w:hAnsi="Times New Roman"/>
          <w:szCs w:val="24"/>
          <w:lang w:val="ru-RU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cs="Times New Roman" w:ascii="Times New Roman" w:hAnsi="Times New Roman"/>
          <w:szCs w:val="24"/>
          <w:lang w:val="ru-RU"/>
        </w:rPr>
        <w:t>5) исполнения предписаний об устранении нарушений обязательных требований, выданных должностными лицами пределах их компетенции.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cs="Times New Roman" w:ascii="Times New Roman" w:hAnsi="Times New Roman"/>
          <w:szCs w:val="24"/>
          <w:lang w:val="ru-RU"/>
        </w:rPr>
        <w:t xml:space="preserve">Объектами муниципального земельного контроля являются земли, расположенные в границах муниципального образования «Усть-Илимский район», земельные участки и их части независимо от прав на них (далее – объекты контроля). </w:t>
      </w:r>
    </w:p>
    <w:p>
      <w:pPr>
        <w:pStyle w:val="Normal"/>
        <w:ind w:firstLine="708"/>
        <w:jc w:val="both"/>
        <w:rPr>
          <w:lang w:eastAsia="ru-RU"/>
        </w:rPr>
      </w:pPr>
      <w:r>
        <w:rPr>
          <w:lang w:eastAsia="ru-RU"/>
        </w:rPr>
        <w:t>Субъектами 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«Усть-Илимский район»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>
      <w:pPr>
        <w:pStyle w:val="ListParagraph"/>
        <w:ind w:left="0" w:firstLine="567"/>
        <w:jc w:val="both"/>
        <w:rPr/>
      </w:pPr>
      <w:r>
        <w:rPr>
          <w:color w:val="00000A"/>
        </w:rPr>
        <w:t>Основными отчетными показателями деятельности Комитета в рамках осуществления муниципального земельного контроля за 2022 год являются:</w:t>
      </w:r>
    </w:p>
    <w:p>
      <w:pPr>
        <w:pStyle w:val="ListParagraph"/>
        <w:ind w:left="0" w:firstLine="567"/>
        <w:jc w:val="both"/>
        <w:rPr/>
      </w:pPr>
      <w:r>
        <w:rPr>
          <w:bCs/>
          <w:color w:val="00000A"/>
        </w:rPr>
        <w:t>количество проведенных проверок</w:t>
      </w:r>
      <w:r>
        <w:rPr>
          <w:color w:val="00000A"/>
        </w:rPr>
        <w:t xml:space="preserve"> соблюдения земельного законодательства Российской Федерации</w:t>
      </w:r>
      <w:r>
        <w:rPr>
          <w:bCs/>
          <w:color w:val="00000A"/>
        </w:rPr>
        <w:t xml:space="preserve"> за 2022 год – 10;</w:t>
      </w:r>
    </w:p>
    <w:p>
      <w:pPr>
        <w:pStyle w:val="Normal"/>
        <w:suppressAutoHyphens w:val="false"/>
        <w:ind w:firstLine="709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Основным видом нарушений, выявляемых должностными лицами, является самовольное занятие земель лицами, не имеющими оформленных прав на землю. На втором месте – прочие нарушения земельного законодательства, выявленных в нарушении обязательных требований статей 25, 26 и 42 Земельного кодекса Российской Федерации.</w:t>
      </w:r>
    </w:p>
    <w:p>
      <w:pPr>
        <w:pStyle w:val="Normal"/>
        <w:suppressAutoHyphens w:val="false"/>
        <w:ind w:firstLine="709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Комитетом, являются:</w:t>
      </w:r>
    </w:p>
    <w:p>
      <w:pPr>
        <w:pStyle w:val="Normal"/>
        <w:suppressAutoHyphens w:val="false"/>
        <w:ind w:firstLine="709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>
      <w:pPr>
        <w:pStyle w:val="Normal"/>
        <w:suppressAutoHyphens w:val="false"/>
        <w:ind w:firstLine="709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Решением данной проблемы является активное проведение должностными лицами Комитета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>
      <w:pPr>
        <w:pStyle w:val="Normal"/>
        <w:suppressAutoHyphens w:val="false"/>
        <w:ind w:firstLine="709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 xml:space="preserve">2. Сознательное бездействие правообладателей земельных участков. </w:t>
      </w:r>
    </w:p>
    <w:p>
      <w:pPr>
        <w:pStyle w:val="Normal"/>
        <w:suppressAutoHyphens w:val="false"/>
        <w:ind w:firstLine="709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Правообладатели земельных участков сельскохозяйственного назначения, планировавшие использовать земельный участок сельскохозяйственного назначения по его прямому назначению.</w:t>
      </w:r>
    </w:p>
    <w:p>
      <w:pPr>
        <w:pStyle w:val="Normal"/>
        <w:suppressAutoHyphens w:val="false"/>
        <w:ind w:firstLine="709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Выявить таких правообладателей и провести с ними профилактические мероприятия, как правило, возможно,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>
      <w:pPr>
        <w:pStyle w:val="Normal"/>
        <w:suppressAutoHyphens w:val="false"/>
        <w:ind w:firstLine="709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участков.</w:t>
      </w:r>
    </w:p>
    <w:p>
      <w:pPr>
        <w:pStyle w:val="Normal"/>
        <w:ind w:firstLine="709"/>
        <w:jc w:val="both"/>
        <w:rPr/>
      </w:pPr>
      <w:r>
        <w:rPr/>
        <w:t>В рамках развития и осуществления профилактической деятельности на территории муниципального образования «Усть-Илимский район» в 2022 году:</w:t>
      </w:r>
    </w:p>
    <w:p>
      <w:pPr>
        <w:pStyle w:val="Normal"/>
        <w:ind w:firstLine="709"/>
        <w:jc w:val="both"/>
        <w:rPr/>
      </w:pPr>
      <w:r>
        <w:rPr/>
        <w:t xml:space="preserve">поддерживались в актуальном состоянии и размещались на официальном сайте </w:t>
      </w:r>
      <w:r>
        <w:rPr>
          <w:bCs/>
        </w:rPr>
        <w:t xml:space="preserve"> </w:t>
      </w:r>
      <w:r>
        <w:rPr/>
        <w:t>Администрации муниципального образования «Усть-Илимский район» в информационно-телекоммуникационной сети «Интернет» (далее - официальный сайт)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</w:t>
      </w:r>
    </w:p>
    <w:p>
      <w:pPr>
        <w:pStyle w:val="Normal"/>
        <w:ind w:firstLine="709"/>
        <w:jc w:val="both"/>
        <w:rPr/>
      </w:pPr>
      <w:r>
        <w:rPr/>
        <w:t>поддерживались в актуальном состоянии и размещались на официальном сайте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 при осуществлении муниципального земельного контроля;</w:t>
      </w:r>
    </w:p>
    <w:p>
      <w:pPr>
        <w:pStyle w:val="Normal"/>
        <w:ind w:firstLine="709"/>
        <w:jc w:val="both"/>
        <w:rPr/>
      </w:pPr>
      <w:r>
        <w:rPr/>
        <w:t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>
      <w:pPr>
        <w:pStyle w:val="Normal"/>
        <w:ind w:firstLine="709"/>
        <w:jc w:val="both"/>
        <w:rPr/>
      </w:pPr>
      <w:r>
        <w:rPr/>
        <w:t>проводились профилактические визиты.</w:t>
      </w:r>
    </w:p>
    <w:p>
      <w:pPr>
        <w:pStyle w:val="Normal"/>
        <w:suppressAutoHyphens w:val="false"/>
        <w:ind w:firstLine="709"/>
        <w:rPr>
          <w:color w:val="00000A"/>
          <w:lang w:eastAsia="ru-RU"/>
        </w:rPr>
      </w:pPr>
      <w:r>
        <w:rPr>
          <w:color w:val="00000A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lang w:eastAsia="ru-RU"/>
        </w:rPr>
      </w:pPr>
      <w:r>
        <w:rPr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lang w:eastAsia="ru-RU"/>
        </w:rPr>
      </w:pPr>
      <w:r>
        <w:rPr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lang w:eastAsia="ru-RU"/>
        </w:rPr>
      </w:pPr>
      <w:r>
        <w:rPr>
          <w:lang w:eastAsia="ru-RU"/>
        </w:rPr>
        <w:t>Раздел II. Цели и задачи реализации программы профилактики рисков причинения вреда</w:t>
      </w:r>
    </w:p>
    <w:p>
      <w:pPr>
        <w:pStyle w:val="Normal"/>
        <w:jc w:val="center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  <w:tab/>
        <w:t>Цели разработки Программы и проведение профилактической работы:</w:t>
      </w:r>
    </w:p>
    <w:p>
      <w:pPr>
        <w:pStyle w:val="Normal"/>
        <w:ind w:left="59" w:hanging="0"/>
        <w:jc w:val="both"/>
        <w:rPr>
          <w:lang w:eastAsia="ru-RU"/>
        </w:rPr>
      </w:pPr>
      <w:r>
        <w:rPr>
          <w:bCs/>
          <w:lang w:eastAsia="ru-RU"/>
        </w:rPr>
        <w:tab/>
        <w:t xml:space="preserve">- </w:t>
      </w:r>
      <w:r>
        <w:rPr>
          <w:lang w:eastAsia="ru-RU"/>
        </w:rPr>
        <w:t>предупреждение нарушения субъектами  муниципального контроля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>
      <w:pPr>
        <w:pStyle w:val="Normal"/>
        <w:ind w:left="59" w:hanging="0"/>
        <w:rPr>
          <w:lang w:eastAsia="ru-RU"/>
        </w:rPr>
      </w:pPr>
      <w:r>
        <w:rPr>
          <w:lang w:eastAsia="ru-RU"/>
        </w:rPr>
        <w:tab/>
        <w:t>- повышение прозрачности системы муниципального контроля;</w:t>
      </w:r>
    </w:p>
    <w:p>
      <w:pPr>
        <w:pStyle w:val="Normal"/>
        <w:ind w:left="59" w:hanging="0"/>
        <w:rPr>
          <w:lang w:eastAsia="ru-RU"/>
        </w:rPr>
      </w:pPr>
      <w:r>
        <w:rPr>
          <w:lang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>
      <w:pPr>
        <w:pStyle w:val="Normal"/>
        <w:ind w:left="59" w:hanging="0"/>
        <w:jc w:val="both"/>
        <w:rPr>
          <w:lang w:eastAsia="ru-RU"/>
        </w:rPr>
      </w:pPr>
      <w:r>
        <w:rPr>
          <w:lang w:eastAsia="ru-RU"/>
        </w:rPr>
        <w:tab/>
        <w:t>- повышение уровня правовой грамотности субъектов муниципального земельного контроля, в том числе путем доступности информации об обязательных требованиях и необходимых мерах по их исполнению;</w:t>
      </w:r>
    </w:p>
    <w:p>
      <w:pPr>
        <w:pStyle w:val="Normal"/>
        <w:ind w:left="59" w:hanging="0"/>
        <w:jc w:val="both"/>
        <w:rPr>
          <w:lang w:eastAsia="ru-RU"/>
        </w:rPr>
      </w:pPr>
      <w:r>
        <w:rPr>
          <w:lang w:eastAsia="ru-RU"/>
        </w:rPr>
        <w:tab/>
        <w:t>- мотивация субъектов муниципального земельного контроля к добросовестному поведению.</w:t>
      </w:r>
    </w:p>
    <w:p>
      <w:pPr>
        <w:pStyle w:val="Normal"/>
        <w:jc w:val="both"/>
        <w:rPr>
          <w:lang w:eastAsia="ru-RU"/>
        </w:rPr>
      </w:pPr>
      <w:r>
        <w:rPr>
          <w:lang w:eastAsia="ru-RU"/>
        </w:rPr>
        <w:tab/>
        <w:t>Проведение профилактических мероприятий Программы позволяет решить следующие задачи:</w:t>
      </w:r>
    </w:p>
    <w:p>
      <w:pPr>
        <w:pStyle w:val="Normal"/>
        <w:ind w:left="59" w:hanging="0"/>
        <w:jc w:val="both"/>
        <w:rPr>
          <w:lang w:eastAsia="ru-RU"/>
        </w:rPr>
      </w:pPr>
      <w:r>
        <w:rPr>
          <w:lang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>
      <w:pPr>
        <w:pStyle w:val="Normal"/>
        <w:ind w:left="59" w:hanging="0"/>
        <w:jc w:val="both"/>
        <w:rPr>
          <w:lang w:eastAsia="ru-RU"/>
        </w:rPr>
      </w:pPr>
      <w:r>
        <w:rPr>
          <w:lang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>
      <w:pPr>
        <w:pStyle w:val="Normal"/>
        <w:ind w:left="59" w:hanging="0"/>
        <w:jc w:val="both"/>
        <w:rPr>
          <w:lang w:eastAsia="ru-RU"/>
        </w:rPr>
      </w:pPr>
      <w:r>
        <w:rPr>
          <w:lang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субъектов земельного контроля (объектов) и присвоенного им уровня риска, проведение профилактических мероприятий с учетом данных факторов;</w:t>
      </w:r>
    </w:p>
    <w:p>
      <w:pPr>
        <w:pStyle w:val="Normal"/>
        <w:ind w:left="59" w:hanging="0"/>
        <w:jc w:val="both"/>
        <w:rPr>
          <w:lang w:eastAsia="ru-RU"/>
        </w:rPr>
      </w:pPr>
      <w:r>
        <w:rPr>
          <w:lang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>
      <w:pPr>
        <w:pStyle w:val="Normal"/>
        <w:ind w:left="59" w:hanging="0"/>
        <w:jc w:val="both"/>
        <w:rPr>
          <w:lang w:eastAsia="ru-RU"/>
        </w:rPr>
      </w:pPr>
      <w:r>
        <w:rPr>
          <w:lang w:eastAsia="ru-RU"/>
        </w:rPr>
        <w:tab/>
        <w:t>- повышение квалификации кадрового состава контрольно-надзорного органа;</w:t>
      </w:r>
    </w:p>
    <w:p>
      <w:pPr>
        <w:pStyle w:val="Normal"/>
        <w:ind w:left="59" w:hanging="0"/>
        <w:jc w:val="both"/>
        <w:rPr>
          <w:lang w:eastAsia="ru-RU"/>
        </w:rPr>
      </w:pPr>
      <w:r>
        <w:rPr>
          <w:lang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>
      <w:pPr>
        <w:pStyle w:val="Normal"/>
        <w:ind w:left="59" w:hanging="0"/>
        <w:jc w:val="both"/>
        <w:rPr>
          <w:lang w:eastAsia="ru-RU"/>
        </w:rPr>
      </w:pPr>
      <w:r>
        <w:rPr>
          <w:lang w:eastAsia="ru-RU"/>
        </w:rPr>
        <w:tab/>
        <w:t>- создание системы консультирования субъектов земельного контроля, в том числе с использованием современных информационно-телекоммуникационных технологий;</w:t>
      </w:r>
    </w:p>
    <w:p>
      <w:pPr>
        <w:pStyle w:val="Normal"/>
        <w:ind w:left="59" w:hanging="0"/>
        <w:rPr>
          <w:lang w:eastAsia="ru-RU"/>
        </w:rPr>
      </w:pPr>
      <w:r>
        <w:rPr>
          <w:lang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>
      <w:pPr>
        <w:pStyle w:val="Normal"/>
        <w:jc w:val="both"/>
        <w:rPr/>
      </w:pPr>
      <w:r>
        <w:rPr>
          <w:lang w:eastAsia="ru-RU"/>
        </w:rPr>
        <w:tab/>
        <w:t>Сроки реализации Программы приведены в перечне основных профилактических мероприятий на 2024 год.</w:t>
      </w:r>
    </w:p>
    <w:p>
      <w:pPr>
        <w:pStyle w:val="Normal"/>
        <w:jc w:val="both"/>
        <w:rPr>
          <w:lang w:eastAsia="ru-RU"/>
        </w:rPr>
      </w:pPr>
      <w:r>
        <w:rPr>
          <w:lang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общественного обсуждения.</w:t>
      </w:r>
    </w:p>
    <w:p>
      <w:pPr>
        <w:pStyle w:val="Normal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lang w:eastAsia="ru-RU"/>
        </w:rPr>
      </w:pPr>
      <w:r>
        <w:rPr>
          <w:lang w:eastAsia="ru-RU"/>
        </w:rPr>
        <w:t>Раздел III. Перечень профилактических мероприятий, сроки (периодичность) их проведения</w:t>
      </w:r>
    </w:p>
    <w:p>
      <w:pPr>
        <w:pStyle w:val="Normal"/>
        <w:spacing w:before="0" w:after="0"/>
        <w:contextualSpacing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suppressAutoHyphens w:val="false"/>
        <w:ind w:firstLine="709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 xml:space="preserve">Перечень основных профилактических мероприятий Программы на 2024 год приведен в таблице №1. </w:t>
      </w:r>
    </w:p>
    <w:p>
      <w:pPr>
        <w:pStyle w:val="Normal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lang w:eastAsia="ru-RU"/>
        </w:rPr>
        <w:t>Таблица № 1</w:t>
      </w:r>
    </w:p>
    <w:p>
      <w:pPr>
        <w:pStyle w:val="Normal"/>
        <w:jc w:val="center"/>
        <w:rPr>
          <w:lang w:eastAsia="ru-RU"/>
        </w:rPr>
      </w:pPr>
      <w:r>
        <w:rPr>
          <w:lang w:eastAsia="ru-RU"/>
        </w:rPr>
      </w:r>
    </w:p>
    <w:tbl>
      <w:tblPr>
        <w:tblW w:w="9639" w:type="dxa"/>
        <w:jc w:val="left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61"/>
        <w:gridCol w:w="2129"/>
        <w:gridCol w:w="2408"/>
      </w:tblGrid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п/п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Профилактические мероприятия</w:t>
            </w:r>
          </w:p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Периодичность проведения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Адресат мероприятия</w:t>
            </w:r>
          </w:p>
        </w:tc>
      </w:tr>
      <w:tr>
        <w:trPr>
          <w:trHeight w:val="970" w:hRule="atLeast"/>
        </w:trPr>
        <w:tc>
          <w:tcPr>
            <w:tcW w:w="7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89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Размещение на официальном сайте </w:t>
            </w:r>
            <w:r>
              <w:rPr/>
              <w:t xml:space="preserve">Администрации муниципального образования «Усть-Илимский район» в информационно-телекоммуникационной сети «Интернет» </w:t>
            </w:r>
            <w:r>
              <w:rPr>
                <w:lang w:eastAsia="ru-RU"/>
              </w:rPr>
              <w:t>актуальной информации:</w:t>
            </w:r>
          </w:p>
        </w:tc>
      </w:tr>
      <w:tr>
        <w:trPr>
          <w:trHeight w:val="2208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Тексты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color w:val="00000A"/>
                <w:lang w:eastAsia="ru-RU"/>
              </w:rPr>
              <w:t>поддерживать в актуальном состоянии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/>
            </w:pPr>
            <w:hyperlink r:id="rId2">
              <w:r>
                <w:rPr>
                  <w:rStyle w:val="Style13"/>
                  <w:lang w:eastAsia="ru-RU"/>
                </w:rPr>
                <w:t>Перечень</w:t>
              </w:r>
            </w:hyperlink>
            <w:r>
              <w:rPr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Поддерживать в актуальном состоянии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</w:t>
            </w:r>
          </w:p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Не позднее 3 рабочих дней после утверждения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color w:val="FF6600"/>
                <w:lang w:eastAsia="ru-RU"/>
              </w:rPr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1327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Не позднее 10 рабочих дней после утверждения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color w:val="FF6600"/>
                <w:lang w:eastAsia="ru-RU"/>
              </w:rPr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2116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>в течение 2024 г, поддерживать в актуальном состоянии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2216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Сведения о способах получения консультаций по вопросам соблюдения обязательных требований</w:t>
            </w:r>
          </w:p>
          <w:p>
            <w:pPr>
              <w:pStyle w:val="Normal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>в течение 2024 г, поддерживать в актуальном состоянии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1389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Доклады, содержащие результаты обобщения правоприменительной практики уполномоченного органа</w:t>
            </w:r>
          </w:p>
          <w:p>
            <w:pPr>
              <w:pStyle w:val="Normal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 xml:space="preserve">В срок до 3 дней со дня утверждения доклада </w:t>
            </w:r>
          </w:p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(с периодичностью, не реже одного раза в год)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2216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Ежегодный доклад о муниципальном земельном контроле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>В срок до 3 дней со дня утверждения доклада (не позднее 15 марта 2024 г.)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2128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1114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/>
            </w:pPr>
            <w:r>
              <w:rPr>
                <w:lang w:eastAsia="ru-RU"/>
              </w:rPr>
              <w:t xml:space="preserve">Программы профилактики на 2025 г. 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 xml:space="preserve">Не позднее 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 xml:space="preserve">1 октября 2024 г. </w:t>
            </w:r>
          </w:p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(проект Программы для общественного обсуждения);</w:t>
            </w:r>
          </w:p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1880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lang w:eastAsia="ru-RU"/>
              </w:rPr>
              <w:t xml:space="preserve">Ежегодных планов проведения плановых контрольных (надзорных) мероприятий по муниципальному земельному контролю, </w:t>
            </w:r>
            <w:r>
              <w:rPr>
                <w:lang w:eastAsia="ru-RU"/>
              </w:rPr>
              <w:t xml:space="preserve">при отмене моратория на проведение плановых контрольно-надзорных  мероприятий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ru-RU"/>
              </w:rPr>
              <w:t>Постановление Правительства Российской Федерации от 10.03.2022   № 336 "Об особенностях организации и осуществления государственного контроля (надзора), муниципального контроля").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 xml:space="preserve">В течение 5 рабочих дней со дня их утверждения 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>(до 13 декабря года, предшествующего году реализации ежегодного плана)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110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</w:r>
          </w:p>
        </w:tc>
      </w:tr>
      <w:tr>
        <w:trPr>
          <w:trHeight w:val="755" w:hRule="atLeast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/>
            </w:pPr>
            <w:r>
              <w:rPr/>
              <w:t>2.</w:t>
            </w:r>
          </w:p>
        </w:tc>
        <w:tc>
          <w:tcPr>
            <w:tcW w:w="89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</w:tr>
      <w:tr>
        <w:trPr>
          <w:trHeight w:val="2930" w:hRule="atLeast"/>
        </w:trPr>
        <w:tc>
          <w:tcPr>
            <w:tcW w:w="7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В течение 2024 года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2204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 xml:space="preserve">Публикаций на официальном сайте </w:t>
            </w:r>
            <w:r>
              <w:rPr/>
              <w:t>Администрации муниципального образования «Усть-Илимский район» в информационно-телекоммуникационной сети «Интернет»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В течение 2024 г.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2153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Ежегодно, не позднее 1 марта 2024 года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63" w:hRule="atLeast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соответствии с российским законодательством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2216" w:hRule="atLeast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Консультирование должностным лицом Комитета  (по телефону, на личном приеме либо в ходе проведения  профилактического мероприятия, контрольного (надзорного) мероприятия)</w:t>
            </w:r>
          </w:p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По обращениям контролируемых лиц и их представителей, поступившим в течении 2024 года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1076" w:hRule="atLeast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Не реже чем 2 раза в год (</w:t>
            </w:r>
            <w:r>
              <w:rPr>
                <w:lang w:val="en-US" w:eastAsia="ru-RU"/>
              </w:rPr>
              <w:t>II</w:t>
            </w:r>
            <w:r>
              <w:rPr>
                <w:lang w:eastAsia="ru-RU"/>
              </w:rPr>
              <w:t xml:space="preserve"> и IV квартал 2024 г.)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3305" w:hRule="atLeast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/>
            </w:pPr>
            <w:r>
              <w:rPr>
                <w:lang w:eastAsia="ru-RU"/>
              </w:rPr>
              <w:t>Разработка и утверждение Программы профилактики рисков причинения вреда (ущерба) охраняемым законом ценностям по муниципальному земельному контролю в</w:t>
            </w:r>
            <w:r>
              <w:rPr/>
              <w:t xml:space="preserve"> муниципальном образовании «Усть-Илимский район»</w:t>
            </w:r>
            <w:r>
              <w:rPr>
                <w:lang w:eastAsia="ru-RU"/>
              </w:rPr>
              <w:t xml:space="preserve">  на 2025 год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Не позднее </w:t>
            </w:r>
          </w:p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1 октября 2024 г. (разработка);</w:t>
            </w:r>
          </w:p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не позднее </w:t>
            </w:r>
          </w:p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20 декабря 2024 г.</w:t>
            </w:r>
          </w:p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(утверждение)</w:t>
            </w:r>
          </w:p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>
      <w:pPr>
        <w:pStyle w:val="Normal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jc w:val="center"/>
        <w:rPr>
          <w:lang w:eastAsia="ru-RU"/>
        </w:rPr>
      </w:pPr>
      <w:r>
        <w:rPr>
          <w:lang w:eastAsia="ru-RU"/>
        </w:rPr>
        <w:t>Раздел IV. Показатели результативности и эффективности программы профилактики рисков причинения вреда</w:t>
      </w:r>
    </w:p>
    <w:p>
      <w:pPr>
        <w:pStyle w:val="Normal"/>
        <w:suppressAutoHyphens w:val="false"/>
        <w:ind w:firstLine="709"/>
        <w:rPr>
          <w:color w:val="00000A"/>
          <w:sz w:val="26"/>
          <w:szCs w:val="26"/>
          <w:lang w:eastAsia="ru-RU"/>
        </w:rPr>
      </w:pPr>
      <w:r>
        <w:rPr>
          <w:color w:val="00000A"/>
          <w:sz w:val="26"/>
          <w:szCs w:val="26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 xml:space="preserve">Финансирование исполнения функции по осуществлению муниципального контроля осуществляется в рамках бюджетных средств, выделяемых Комитету. </w:t>
      </w:r>
    </w:p>
    <w:p>
      <w:pPr>
        <w:pStyle w:val="Normal"/>
        <w:suppressAutoHyphens w:val="false"/>
        <w:ind w:firstLine="709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 xml:space="preserve">Перечень уполномоченных лиц, ответственных за организацию и проведение профилактических мероприятий Программы на 2024 год приведен в таблице № 2. </w:t>
      </w:r>
    </w:p>
    <w:p>
      <w:pPr>
        <w:pStyle w:val="Normal"/>
        <w:suppressAutoHyphens w:val="false"/>
        <w:ind w:firstLine="709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Текущее управление и контроль за ходом реализации Программы осуществляет Комитет. Ответственным исполнителем Программы является Отдел земельных отношений Комитета по управлению имуществом администрации муниципального образования «Усть-Илимский район».</w:t>
      </w:r>
    </w:p>
    <w:p>
      <w:pPr>
        <w:pStyle w:val="Normal"/>
        <w:suppressAutoHyphens w:val="false"/>
        <w:ind w:firstLine="709"/>
        <w:rPr>
          <w:color w:val="00000A"/>
          <w:lang w:eastAsia="ru-RU"/>
        </w:rPr>
      </w:pPr>
      <w:r>
        <w:rPr>
          <w:color w:val="00000A"/>
          <w:lang w:eastAsia="ru-RU"/>
        </w:rPr>
        <w:t>Мониторинг реализации Программы осуществляется на регулярной основе.</w:t>
      </w:r>
    </w:p>
    <w:p>
      <w:pPr>
        <w:pStyle w:val="Normal"/>
        <w:suppressAutoHyphens w:val="false"/>
        <w:ind w:firstLine="709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</w:t>
      </w:r>
      <w:r>
        <w:rPr/>
        <w:t>Администрации муниципального образования «Усть-Илимский район» в информационно-телекоммуникационной сети «Интернет»</w:t>
      </w:r>
      <w:r>
        <w:rPr>
          <w:color w:val="00000A"/>
          <w:lang w:eastAsia="ru-RU"/>
        </w:rPr>
        <w:t>.</w:t>
      </w:r>
    </w:p>
    <w:p>
      <w:pPr>
        <w:pStyle w:val="Normal"/>
        <w:jc w:val="right"/>
        <w:rPr>
          <w:lang w:eastAsia="ru-RU"/>
        </w:rPr>
      </w:pPr>
      <w:r>
        <w:rPr>
          <w:lang w:eastAsia="ru-RU"/>
        </w:rPr>
      </w:r>
    </w:p>
    <w:p>
      <w:pPr>
        <w:pStyle w:val="Normal"/>
        <w:jc w:val="right"/>
        <w:rPr>
          <w:lang w:eastAsia="ru-RU"/>
        </w:rPr>
      </w:pPr>
      <w:r>
        <w:rPr>
          <w:lang w:eastAsia="ru-RU"/>
        </w:rPr>
      </w:r>
    </w:p>
    <w:p>
      <w:pPr>
        <w:pStyle w:val="Normal"/>
        <w:jc w:val="right"/>
        <w:rPr>
          <w:lang w:eastAsia="ru-RU"/>
        </w:rPr>
      </w:pPr>
      <w:r>
        <w:rPr>
          <w:lang w:eastAsia="ru-RU"/>
        </w:rPr>
        <w:t>Таблица № 2</w:t>
      </w:r>
    </w:p>
    <w:p>
      <w:pPr>
        <w:pStyle w:val="Normal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tbl>
      <w:tblPr>
        <w:tblW w:w="9701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718"/>
        <w:gridCol w:w="2319"/>
        <w:gridCol w:w="2268"/>
        <w:gridCol w:w="1985"/>
        <w:gridCol w:w="2411"/>
      </w:tblGrid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№ </w:t>
            </w:r>
            <w:r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ФИО</w:t>
            </w:r>
          </w:p>
          <w:p>
            <w:pPr>
              <w:pStyle w:val="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Функции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Контакты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701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718"/>
        <w:gridCol w:w="2319"/>
        <w:gridCol w:w="2268"/>
        <w:gridCol w:w="1985"/>
        <w:gridCol w:w="2411"/>
      </w:tblGrid>
      <w:tr>
        <w:trPr>
          <w:tblHeader w:val="true"/>
          <w:trHeight w:val="28" w:hRule="atLeast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Рютина Любовь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color w:val="00000A"/>
                <w:sz w:val="20"/>
                <w:szCs w:val="20"/>
                <w:lang w:eastAsia="ru-RU"/>
              </w:rPr>
              <w:t>Отдел земельных отношений Комитета по управлению имуществом администрации муниципального образования «Усть-Илимский район»</w:t>
            </w:r>
            <w:r>
              <w:rPr>
                <w:sz w:val="20"/>
                <w:szCs w:val="20"/>
                <w:lang w:eastAsia="ru-RU"/>
              </w:rPr>
              <w:t xml:space="preserve"> (Руководитель и координатор Программы)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8(39535) 7-16-70</w:t>
            </w:r>
          </w:p>
        </w:tc>
      </w:tr>
      <w:tr>
        <w:trPr>
          <w:tblHeader w:val="true"/>
          <w:trHeight w:val="28" w:hRule="atLeast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Ерофеева Анна Александровна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Старший инспектор  </w:t>
            </w:r>
            <w:r>
              <w:rPr>
                <w:color w:val="00000A"/>
                <w:sz w:val="20"/>
                <w:szCs w:val="20"/>
                <w:lang w:eastAsia="ru-RU"/>
              </w:rPr>
              <w:t>отдела земельных отношений Комитета по управлению имуществом администрации муниципального образования «Усть-Илимский район»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Организация и проведение мероприятий Программы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8(39535) 7-16-70 </w:t>
            </w:r>
          </w:p>
        </w:tc>
      </w:tr>
    </w:tbl>
    <w:p>
      <w:pPr>
        <w:pStyle w:val="Normal"/>
        <w:rPr>
          <w:rFonts w:ascii="Calibri" w:hAnsi="Calibri" w:cs="Calibri"/>
          <w:lang w:eastAsia="ru-RU"/>
        </w:rPr>
      </w:pPr>
      <w:r>
        <w:rPr>
          <w:rFonts w:cs="Calibri" w:ascii="Calibri" w:hAnsi="Calibri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>
      <w:pPr>
        <w:pStyle w:val="Normal"/>
        <w:suppressAutoHyphens w:val="false"/>
        <w:ind w:firstLine="709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субъектами земельного контроля  вреда (ущерба) охраняемым законом ценностям при проведении профилактических мероприятий.</w:t>
      </w:r>
    </w:p>
    <w:p>
      <w:pPr>
        <w:pStyle w:val="Normal"/>
        <w:suppressAutoHyphens w:val="false"/>
        <w:ind w:firstLine="709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Целевые показатели результативности мероприятий Программы по муниципальному земельному контролю:</w:t>
      </w:r>
    </w:p>
    <w:p>
      <w:pPr>
        <w:pStyle w:val="Normal"/>
        <w:suppressAutoHyphens w:val="false"/>
        <w:ind w:firstLine="709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1) Количество выявленных нарушений требований земельного законодательства, шт.</w:t>
      </w:r>
    </w:p>
    <w:p>
      <w:pPr>
        <w:pStyle w:val="Normal"/>
        <w:suppressAutoHyphens w:val="false"/>
        <w:ind w:firstLine="709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>
      <w:pPr>
        <w:pStyle w:val="Normal"/>
        <w:suppressAutoHyphens w:val="false"/>
        <w:jc w:val="center"/>
        <w:rPr/>
      </w:pPr>
      <w:r>
        <w:rPr/>
      </w:r>
    </w:p>
    <w:p>
      <w:pPr>
        <w:pStyle w:val="Normal"/>
        <w:suppressAutoHyphens w:val="false"/>
        <w:jc w:val="center"/>
        <w:rPr/>
      </w:pPr>
      <w:r>
        <w:rPr/>
      </w:r>
    </w:p>
    <w:p>
      <w:pPr>
        <w:pStyle w:val="Normal"/>
        <w:suppressAutoHyphens w:val="false"/>
        <w:jc w:val="center"/>
        <w:rPr/>
      </w:pPr>
      <w:r>
        <w:rPr/>
      </w:r>
    </w:p>
    <w:p>
      <w:pPr>
        <w:pStyle w:val="Normal"/>
        <w:suppressAutoHyphens w:val="false"/>
        <w:jc w:val="center"/>
        <w:rPr/>
      </w:pPr>
      <w:r>
        <w:rPr/>
      </w:r>
    </w:p>
    <w:p>
      <w:pPr>
        <w:pStyle w:val="Normal"/>
        <w:suppressAutoHyphens w:val="false"/>
        <w:jc w:val="center"/>
        <w:rPr/>
      </w:pPr>
      <w:r>
        <w:rPr/>
      </w:r>
    </w:p>
    <w:p>
      <w:pPr>
        <w:pStyle w:val="Normal"/>
        <w:suppressAutoHyphens w:val="false"/>
        <w:jc w:val="center"/>
        <w:rPr/>
      </w:pPr>
      <w:r>
        <w:rPr/>
        <w:t xml:space="preserve">Показатели результативности и эффективности программы профилактики, на 2024 год: </w:t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24" w:type="dxa"/>
        <w:jc w:val="left"/>
        <w:tblInd w:w="-8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394"/>
        <w:gridCol w:w="3545"/>
        <w:gridCol w:w="2562"/>
        <w:gridCol w:w="3522"/>
      </w:tblGrid>
      <w:tr>
        <w:trPr/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ndale Sans UI"/>
                <w:lang w:eastAsia="zh-CN"/>
              </w:rPr>
            </w:pPr>
            <w:r>
              <w:rPr>
                <w:rFonts w:eastAsia="Andale Sans UI"/>
                <w:lang w:eastAsia="zh-CN"/>
              </w:rPr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ndale Sans UI"/>
                <w:lang w:eastAsia="zh-CN"/>
              </w:rPr>
            </w:pPr>
            <w:r>
              <w:rPr/>
              <w:t xml:space="preserve">Наименование показателя результативности 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t>Величина в 2024 году</w:t>
            </w:r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t xml:space="preserve">Величина в 2024 году/% </w:t>
            </w:r>
          </w:p>
        </w:tc>
      </w:tr>
      <w:tr>
        <w:trPr/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ndale Sans UI"/>
                <w:lang w:eastAsia="zh-CN"/>
              </w:rPr>
            </w:pPr>
            <w:r>
              <w:rPr/>
              <w:t>1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ndale Sans UI"/>
                <w:lang w:eastAsia="zh-CN"/>
              </w:rPr>
            </w:pPr>
            <w:r>
              <w:rPr/>
              <w:t>2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ndale Sans UI"/>
                <w:lang w:eastAsia="zh-CN"/>
              </w:rPr>
            </w:pPr>
            <w:r>
              <w:rPr/>
              <w:t>3</w:t>
            </w:r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ndale Sans UI"/>
                <w:lang w:eastAsia="zh-CN"/>
              </w:rPr>
            </w:pPr>
            <w:r>
              <w:rPr/>
              <w:t>5</w:t>
            </w:r>
          </w:p>
        </w:tc>
      </w:tr>
      <w:tr>
        <w:trPr/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ndale Sans UI"/>
                <w:lang w:eastAsia="zh-CN"/>
              </w:rPr>
            </w:pPr>
            <w:r>
              <w:rPr/>
              <w:t>1.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ndale Sans UI"/>
                <w:lang w:eastAsia="zh-CN"/>
              </w:rPr>
            </w:pPr>
            <w:r>
              <w:rPr>
                <w:lang w:eastAsia="ru-RU"/>
              </w:rPr>
              <w:t xml:space="preserve">Информирование 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ndale Sans UI"/>
                <w:lang w:eastAsia="zh-CN"/>
              </w:rPr>
            </w:pPr>
            <w:r>
              <w:rPr/>
              <w:t xml:space="preserve">Не менее 10 раз за год </w:t>
            </w:r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ndale Sans UI"/>
                <w:lang w:eastAsia="zh-CN"/>
              </w:rPr>
            </w:pPr>
            <w:r>
              <w:rPr/>
              <w:t>100%</w:t>
            </w:r>
          </w:p>
        </w:tc>
      </w:tr>
      <w:tr>
        <w:trPr/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ndale Sans UI"/>
                <w:lang w:eastAsia="zh-CN"/>
              </w:rPr>
            </w:pPr>
            <w:r>
              <w:rPr/>
              <w:t>2.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ndale Sans UI"/>
                <w:lang w:eastAsia="zh-CN"/>
              </w:rPr>
            </w:pPr>
            <w:r>
              <w:rPr>
                <w:lang w:eastAsia="ru-RU"/>
              </w:rPr>
              <w:t xml:space="preserve">Обобщение правопримени-тельной практики 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ndale Sans UI"/>
                <w:lang w:eastAsia="zh-CN"/>
              </w:rPr>
            </w:pPr>
            <w:r>
              <w:rPr/>
              <w:t>Не менее 1 раза в год</w:t>
            </w:r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ndale Sans UI"/>
                <w:lang w:eastAsia="zh-CN"/>
              </w:rPr>
            </w:pPr>
            <w:r>
              <w:rPr/>
              <w:t>100%</w:t>
            </w:r>
          </w:p>
        </w:tc>
      </w:tr>
      <w:tr>
        <w:trPr/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ndale Sans UI"/>
                <w:lang w:eastAsia="zh-CN"/>
              </w:rPr>
            </w:pPr>
            <w:r>
              <w:rPr/>
              <w:t>3.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ndale Sans UI"/>
                <w:lang w:eastAsia="zh-CN"/>
              </w:rPr>
            </w:pPr>
            <w:r>
              <w:rPr>
                <w:lang w:eastAsia="ru-RU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  <w:t>Не менее 1 предостережений в год</w:t>
            </w:r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ndale Sans UI"/>
                <w:lang w:eastAsia="zh-CN"/>
              </w:rPr>
            </w:pPr>
            <w:r>
              <w:rPr/>
              <w:t>100%</w:t>
            </w:r>
          </w:p>
        </w:tc>
      </w:tr>
      <w:tr>
        <w:trPr/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ndale Sans UI"/>
                <w:lang w:eastAsia="zh-CN"/>
              </w:rPr>
            </w:pPr>
            <w:r>
              <w:rPr/>
              <w:t>4.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ndale Sans UI"/>
                <w:lang w:eastAsia="zh-CN"/>
              </w:rPr>
            </w:pPr>
            <w:r>
              <w:rPr>
                <w:lang w:eastAsia="ru-RU"/>
              </w:rPr>
              <w:t>Консультирование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ndale Sans UI"/>
                <w:lang w:eastAsia="zh-CN"/>
              </w:rPr>
            </w:pPr>
            <w:r>
              <w:rPr/>
              <w:t>Не менее 35 консультирований в год</w:t>
            </w:r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ndale Sans UI"/>
                <w:lang w:eastAsia="zh-CN"/>
              </w:rPr>
            </w:pPr>
            <w:r>
              <w:rPr/>
              <w:t>100%</w:t>
            </w:r>
          </w:p>
        </w:tc>
      </w:tr>
    </w:tbl>
    <w:p>
      <w:pPr>
        <w:pStyle w:val="Normal"/>
        <w:suppressAutoHyphens w:val="false"/>
        <w:jc w:val="both"/>
        <w:rPr>
          <w:rFonts w:eastAsia="Andale Sans UI"/>
          <w:sz w:val="28"/>
          <w:szCs w:val="28"/>
          <w:lang w:eastAsia="zh-CN"/>
        </w:rPr>
      </w:pPr>
      <w:r>
        <w:rPr>
          <w:rFonts w:eastAsia="Andale Sans UI"/>
          <w:sz w:val="28"/>
          <w:szCs w:val="28"/>
          <w:lang w:eastAsia="zh-CN"/>
        </w:rPr>
      </w:r>
    </w:p>
    <w:p>
      <w:pPr>
        <w:pStyle w:val="Normal"/>
        <w:suppressAutoHyphens w:val="false"/>
        <w:ind w:firstLine="709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 (Таблица № 3).</w:t>
      </w:r>
    </w:p>
    <w:p>
      <w:pPr>
        <w:pStyle w:val="Normal"/>
        <w:ind w:right="-273" w:hanging="0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</w:r>
    </w:p>
    <w:p>
      <w:pPr>
        <w:pStyle w:val="Normal"/>
        <w:ind w:right="-273" w:hanging="0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Таблица № 3</w:t>
      </w:r>
    </w:p>
    <w:p>
      <w:pPr>
        <w:pStyle w:val="Normal"/>
        <w:tabs>
          <w:tab w:val="left" w:pos="38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tbl>
      <w:tblPr>
        <w:tblW w:w="10206" w:type="dxa"/>
        <w:jc w:val="left"/>
        <w:tblInd w:w="-4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425"/>
        <w:gridCol w:w="1842"/>
        <w:gridCol w:w="993"/>
        <w:gridCol w:w="1703"/>
        <w:gridCol w:w="567"/>
        <w:gridCol w:w="850"/>
        <w:gridCol w:w="851"/>
        <w:gridCol w:w="565"/>
        <w:gridCol w:w="4"/>
        <w:gridCol w:w="567"/>
        <w:gridCol w:w="569"/>
        <w:gridCol w:w="567"/>
        <w:gridCol w:w="702"/>
      </w:tblGrid>
      <w:tr>
        <w:trPr/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Бюджетные ассигнования в разрезе бюджетов (расход), тыс. руб.</w:t>
            </w:r>
          </w:p>
        </w:tc>
      </w:tr>
      <w:tr>
        <w:trPr/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Пла-новое значе-ние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Фак-тическ-ое значе-ние</w:t>
            </w:r>
          </w:p>
        </w:tc>
        <w:tc>
          <w:tcPr>
            <w:tcW w:w="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Отк-ло-не-ние, 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</w:t>
            </w:r>
          </w:p>
        </w:tc>
      </w:tr>
      <w:tr>
        <w:trPr>
          <w:trHeight w:val="3958" w:hRule="atLeas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Программа (План)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«</w:t>
            </w:r>
            <w:r>
              <w:rPr>
                <w:sz w:val="20"/>
                <w:szCs w:val="20"/>
              </w:rPr>
              <w:t xml:space="preserve">Профилактика рисков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причинения вреда (ущерба) охраняемым законом ценностям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по муниципальному земельному контролю в</w:t>
            </w:r>
            <w:r>
              <w:rPr>
                <w:sz w:val="20"/>
                <w:szCs w:val="20"/>
              </w:rPr>
              <w:t xml:space="preserve"> муниципальном 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образовании «Усть-Илимский район» на 2024 год</w:t>
            </w:r>
            <w:r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LineNumbers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uppressLineNumbers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запланированных мероприятий</w:t>
            </w:r>
          </w:p>
          <w:p>
            <w:pPr>
              <w:pStyle w:val="Normal"/>
              <w:suppressLineNumbers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6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6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>
      <w:pPr>
        <w:pStyle w:val="Normal"/>
        <w:textAlignment w:val="baseline"/>
        <w:rPr>
          <w:rFonts w:eastAsia="SimSun" w:cs="Mangal"/>
          <w:color w:val="00000A"/>
          <w:lang w:eastAsia="zh-CN" w:bidi="hi-IN"/>
        </w:rPr>
      </w:pPr>
      <w:r>
        <w:rPr>
          <w:rFonts w:eastAsia="SimSun" w:cs="Mangal"/>
          <w:color w:val="00000A"/>
          <w:lang w:eastAsia="zh-CN" w:bidi="hi-IN"/>
        </w:rPr>
      </w:r>
    </w:p>
    <w:p>
      <w:pPr>
        <w:pStyle w:val="Normal"/>
        <w:ind w:left="1416" w:hanging="141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1068" w:hanging="360"/>
      </w:pPr>
      <w:rPr>
        <w:b w:val="false"/>
        <w:rFonts w:eastAsia="Times New Roman" w:cs="Tahoma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1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8398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ru-RU" w:eastAsia="ar-SA" w:bidi="ar-SA"/>
    </w:rPr>
  </w:style>
  <w:style w:type="paragraph" w:styleId="1">
    <w:name w:val="Heading 1"/>
    <w:basedOn w:val="Normal"/>
    <w:link w:val="10"/>
    <w:qFormat/>
    <w:rsid w:val="00083987"/>
    <w:pPr>
      <w:keepNext/>
      <w:numPr>
        <w:ilvl w:val="0"/>
        <w:numId w:val="1"/>
      </w:numPr>
      <w:jc w:val="center"/>
      <w:outlineLvl w:val="0"/>
      <w:outlineLvl w:val="0"/>
    </w:pPr>
    <w:rPr>
      <w:b/>
      <w:color w:val="00000A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83987"/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character" w:styleId="ListLabel1">
    <w:name w:val="ListLabel 1"/>
    <w:qFormat/>
    <w:rPr>
      <w:rFonts w:eastAsia="Times New Roman" w:cs="Tahoma"/>
      <w:b w:val="false"/>
    </w:rPr>
  </w:style>
  <w:style w:type="character" w:styleId="ListLabel2">
    <w:name w:val="ListLabel 2"/>
    <w:qFormat/>
    <w:rPr>
      <w:rFonts w:eastAsia="Times New Roman" w:cs="Tahoma"/>
      <w:b w:val="false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eastAsia="Times New Roman" w:cs="Tahoma"/>
      <w:b w:val="false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083987"/>
    <w:pPr>
      <w:widowControl w:val="false"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Times New Roman" w:cs="Tahoma"/>
      <w:color w:val="00000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083987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083987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sz w:val="24"/>
      <w:szCs w:val="20"/>
      <w:lang w:val="en-US" w:eastAsia="ru-RU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213122&amp;date=12.08.2021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Application>LibreOffice/5.2.2.2$Windows_X86_64 LibreOffice_project/8f96e87c890bf8fa77463cd4b640a2312823f3ad</Application>
  <Pages>10</Pages>
  <Words>2407</Words>
  <Characters>19260</Characters>
  <CharactersWithSpaces>21801</CharactersWithSpaces>
  <Paragraphs>236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2021-09-02T01:34:00Z</dcterms:created>
  <dc:creator>User</dc:creator>
  <dc:description/>
  <dc:language>ru-RU</dc:language>
  <cp:lastModifiedBy/>
  <dcterms:modified xsi:type="dcterms:W3CDTF">2023-09-06T10:13:12Z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