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 w:firstLine="709"/>
        <w:jc w:val="both"/>
        <w:rPr>
          <w:b w:val="0"/>
        </w:rPr>
      </w:pPr>
      <w:bookmarkStart w:id="1" w:name="_Hlk180145305"/>
      <w:bookmarkEnd w:id="1"/>
      <w:r>
        <w:rPr>
          <w:b w:val="1"/>
        </w:rPr>
        <w:t>Рассмотрен вопрос о размере платы за коммунальную услугу по холодному, горячему водоснабжению и (или) электроснабжению при отсутствии прибора учета и в случае обязанности его установки</w:t>
      </w:r>
      <w:r>
        <w:br/>
      </w:r>
    </w:p>
    <w:p w14:paraId="02000000">
      <w:pPr>
        <w:widowControl w:val="1"/>
        <w:spacing w:after="0" w:before="168"/>
        <w:ind w:firstLine="709" w:left="0" w:right="0"/>
        <w:jc w:val="both"/>
        <w:rPr>
          <w:b w:val="0"/>
        </w:rPr>
      </w:pPr>
      <w:r>
        <w:rPr>
          <w:b w:val="0"/>
        </w:rPr>
        <w:t xml:space="preserve">Сообщается, что абзацем третьим пункта 42 Правил, утвержденных постановлением Правительства РФ от 06.05.2011 N 354, установлено, что при отсутствии индивидуального или общего (квартирного) прибора учета холодной воды, горячей воды, электрической энергии и в случае наличия обязанности установки такого прибора учета размер платы за коммунальную услугу по холодному водоснабжению, горячему водоснабжению и (или) электроснабжению, предоставленную потребителю в жилом помещении, определяется по формуле 4(1) приложения N 2 к Правилам N 354 исходя из норматива потребления коммунальной услуги по ХВС, ГВС и (или) электроснабжению с применением повышающего коэффициента, а в случае установления двухкомпонентных тарифов на горячую воду размер платы за коммунальную услугу по ГВС, предоставленную потребителю за расчетный период в жилом помещении, которое не оснащено ИПУ, определяется по формуле 23(1) приложения N 2 к Правилам N 354 исходя из норматива потребления горячей воды с применением повышающего коэффициента. </w:t>
      </w:r>
    </w:p>
    <w:p w14:paraId="03000000">
      <w:pPr>
        <w:widowControl w:val="1"/>
        <w:spacing w:after="0" w:before="168"/>
        <w:ind w:firstLine="709" w:left="0" w:right="0"/>
        <w:jc w:val="both"/>
        <w:rPr>
          <w:b w:val="0"/>
        </w:rPr>
      </w:pPr>
      <w:r>
        <w:rPr>
          <w:b w:val="0"/>
        </w:rPr>
        <w:t>Применяемый в формуле 4(1) повышающий коэффициент увеличивает только размер платы за коммунальную услугу, потребленную в помещении, не изменяя объем потребления такой услуги.</w:t>
      </w:r>
    </w:p>
    <w:p w14:paraId="04000000">
      <w:pPr>
        <w:widowControl w:val="1"/>
        <w:spacing w:after="0" w:before="168"/>
        <w:ind w:firstLine="709" w:left="0" w:right="0"/>
        <w:jc w:val="both"/>
        <w:rPr>
          <w:b w:val="0"/>
        </w:rPr>
      </w:pPr>
      <w:r>
        <w:rPr>
          <w:b w:val="0"/>
        </w:rPr>
        <w:t>Также применяемый в формуле 23(1) повышающий коэффициент не увеличивает объем потребления горячей воды.</w:t>
      </w: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2026-01-30T06:27:59Z</dcterms:created>
  <dcterms:modified xsi:type="dcterms:W3CDTF">2026-04-30T01:39:43Z</dcterms:modified>
</cp:coreProperties>
</file>