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Сообщение о возможном установлении публичного сервитута в отношении земельных участков 38:17:068101:ЗУ1 и 38:17:068101:1527/чзу1 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муниципального образования «Усть-Илимский район» рассматривается ходатайство АО «Иркутская электросетевая компания» об установлении публичного сервитута в отношении земельного участка с условным номером 38:17:068101:ЗУ1, площадью 84 кв.м. и земельного участка 38:17:068101:1527/чзу1, площадью 1033 кв.м., общей площадью 1117 кв.м., с местоположением: Российская Федерация, Иркутская область, Усть-Илимский район, п. Невон, ул. Цветочная, 8,10,12, в целях эксплуатации линейного объекта «ВЛ-10 кВ, ВЛ-0,4 кВ, КТП 10-0,4 кВ п. Невон, ул. Цветочная».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статьей 39.42 Земельного Кодека Российской Федерации,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(обременений прав) с приложением копий документов, подтверждающих эти права (обременения прав), на земельные участки в течение 30 (тридцати) дней со дня опубликования настоящего сообщения по адресу: Иркутская область, г. Усть-Илимск, ул. Комсомольская, 9, кабинет 23, график работы: понедельник-пятница с 9.00 — 13.00, с 14.00 - 17.00, суббота, воскресенье – выходные дни, телефон для справок 8 (39535) 7-51-62.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Сообщение о поступившем ходатайстве об установлении публичного сервитута и прилагаемой к нему схемы границ публичного сервитута размещено на </w:t>
      </w:r>
      <w:r>
        <w:rPr>
          <w:rFonts w:cs="Times New Roman" w:ascii="Times New Roman" w:hAnsi="Times New Roman"/>
          <w:bCs/>
          <w:sz w:val="24"/>
          <w:szCs w:val="24"/>
        </w:rPr>
        <w:t>интернет-сайте муниципального образования «Усть-Илимский район</w:t>
      </w:r>
      <w:r>
        <w:rPr>
          <w:rFonts w:cs="Times New Roman" w:ascii="Times New Roman" w:hAnsi="Times New Roman"/>
          <w:sz w:val="24"/>
          <w:szCs w:val="24"/>
        </w:rPr>
        <w:t>» (</w:t>
      </w:r>
      <w:r>
        <w:rPr>
          <w:rFonts w:cs="Times New Roman" w:ascii="Times New Roman" w:hAnsi="Times New Roman"/>
          <w:sz w:val="24"/>
          <w:szCs w:val="24"/>
          <w:lang w:val="en-US"/>
        </w:rPr>
        <w:t>uiraion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mo</w:t>
      </w:r>
      <w:r>
        <w:rPr>
          <w:rFonts w:cs="Times New Roman" w:ascii="Times New Roman" w:hAnsi="Times New Roman"/>
          <w:sz w:val="24"/>
          <w:szCs w:val="24"/>
        </w:rPr>
        <w:t>38.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 xml:space="preserve">), а также в сетевом издании «Официальный интернет-портал правовой информации муниципального образования «Усть-Илимский район» </w:t>
      </w:r>
      <w:r>
        <w:rPr>
          <w:rStyle w:val="FollowedHyperlink"/>
          <w:rFonts w:cs="Times New Roman" w:ascii="Times New Roman" w:hAnsi="Times New Roman"/>
          <w:sz w:val="24"/>
          <w:szCs w:val="24"/>
        </w:rPr>
        <w:t>www.уи-район.рф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Схема публичного сервитута расположенного по адресу: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Усть-Илимский район, п. Невон, ул. Цветочная, в районе 8, 10, 12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tbl>
      <w:tblPr>
        <w:tblStyle w:val="a3"/>
        <w:tblW w:w="9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3120"/>
        <w:gridCol w:w="3120"/>
      </w:tblGrid>
      <w:tr>
        <w:trPr/>
        <w:tc>
          <w:tcPr>
            <w:tcW w:w="9359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ru-RU" w:eastAsia="en-US" w:bidi="ar-SA"/>
              </w:rPr>
              <w:t>Условный номер земельного участка: 38:17:068101:1527/чзу1</w:t>
            </w:r>
          </w:p>
        </w:tc>
      </w:tr>
      <w:tr>
        <w:trPr/>
        <w:tc>
          <w:tcPr>
            <w:tcW w:w="9359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ru-RU" w:eastAsia="en-US" w:bidi="ar-SA"/>
              </w:rPr>
              <w:t>Площадь земельного участка 1033 кв.м.</w:t>
            </w:r>
            <w:bookmarkStart w:id="0" w:name="_Hlk23851575"/>
            <w:bookmarkEnd w:id="0"/>
          </w:p>
        </w:tc>
      </w:tr>
      <w:tr>
        <w:trPr/>
        <w:tc>
          <w:tcPr>
            <w:tcW w:w="9359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ru-RU" w:eastAsia="en-US" w:bidi="ar-SA"/>
              </w:rPr>
              <w:t>Условный номер земельного участка: 38:17:068101:ЗУ1</w:t>
            </w:r>
          </w:p>
        </w:tc>
      </w:tr>
      <w:tr>
        <w:trPr/>
        <w:tc>
          <w:tcPr>
            <w:tcW w:w="9359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ru-RU" w:eastAsia="en-US" w:bidi="ar-SA"/>
              </w:rPr>
              <w:t>Площадь земельного участка 84 кв.м.</w:t>
            </w:r>
          </w:p>
        </w:tc>
      </w:tr>
      <w:tr>
        <w:trPr/>
        <w:tc>
          <w:tcPr>
            <w:tcW w:w="9359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ru-RU" w:eastAsia="en-US" w:bidi="ar-SA"/>
              </w:rPr>
              <w:t>Система координат МСК-38, зона 3</w:t>
            </w:r>
          </w:p>
        </w:tc>
      </w:tr>
      <w:tr>
        <w:trPr/>
        <w:tc>
          <w:tcPr>
            <w:tcW w:w="9359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ru-RU" w:eastAsia="en-US" w:bidi="ar-SA"/>
              </w:rPr>
              <w:t>Метод определения координат: Картометрический метод</w:t>
            </w:r>
          </w:p>
        </w:tc>
      </w:tr>
      <w:tr>
        <w:trPr/>
        <w:tc>
          <w:tcPr>
            <w:tcW w:w="311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ru-RU" w:eastAsia="en-US" w:bidi="ar-SA"/>
              </w:rPr>
              <w:t>Обозначение характерных точек границ</w:t>
            </w:r>
          </w:p>
        </w:tc>
        <w:tc>
          <w:tcPr>
            <w:tcW w:w="62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ru-RU" w:eastAsia="en-US" w:bidi="ar-SA"/>
              </w:rPr>
              <w:t>Координаты, м</w:t>
            </w:r>
          </w:p>
        </w:tc>
      </w:tr>
      <w:tr>
        <w:trPr/>
        <w:tc>
          <w:tcPr>
            <w:tcW w:w="31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X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Y</w:t>
            </w:r>
          </w:p>
        </w:tc>
      </w:tr>
      <w:tr>
        <w:trPr>
          <w:trHeight w:val="70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Calibri" w:cs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3</w:t>
            </w:r>
          </w:p>
        </w:tc>
      </w:tr>
      <w:tr>
        <w:trPr>
          <w:trHeight w:val="90" w:hRule="atLeast"/>
        </w:trPr>
        <w:tc>
          <w:tcPr>
            <w:tcW w:w="935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:1527/чзу1</w:t>
            </w:r>
          </w:p>
        </w:tc>
      </w:tr>
      <w:tr>
        <w:trPr>
          <w:trHeight w:val="90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1025368.61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3231403.72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1025371.55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3231399.24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н3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1025367.51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3231351.19</w:t>
            </w:r>
          </w:p>
        </w:tc>
      </w:tr>
      <w:tr>
        <w:trPr>
          <w:trHeight w:val="70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н4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1025359.96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3231341.62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н5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1025361.33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3231332.10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н6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1025506.32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3231222.64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н7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1025503.91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3231219.45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н8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1025357.60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3231329.91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н9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1025355.80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3231342.73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н10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1025363.60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3231352.73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1025367.44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3231398.17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1025364.87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3231402.07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1025368.61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3231403.72</w:t>
            </w:r>
          </w:p>
        </w:tc>
      </w:tr>
      <w:tr>
        <w:trPr>
          <w:trHeight w:val="64" w:hRule="atLeast"/>
        </w:trPr>
        <w:tc>
          <w:tcPr>
            <w:tcW w:w="935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:ЗУ1(1)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н13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1025350.08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3231431.62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н14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1025350.85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3231430.64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н15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1025359.26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3231417.94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н16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1025355.69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3231416.03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н17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1025347.62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3231428.29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н18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1025346.91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3231429.19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н13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1025350.08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3231431.62</w:t>
            </w:r>
          </w:p>
        </w:tc>
      </w:tr>
      <w:tr>
        <w:trPr>
          <w:trHeight w:val="64" w:hRule="atLeast"/>
        </w:trPr>
        <w:tc>
          <w:tcPr>
            <w:tcW w:w="935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:ЗУ1(2)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н19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1025364.87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3231402.08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н20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1025368.61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3231403.73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н21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1025365.93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3231407.89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н22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1025362.28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3231405.93</w:t>
            </w:r>
          </w:p>
        </w:tc>
      </w:tr>
      <w:tr>
        <w:trPr>
          <w:trHeight w:val="64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ru-RU" w:eastAsia="en-US" w:bidi="ar-SA"/>
              </w:rPr>
              <w:t>н19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1025364.87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themeColor="text1" w:themeTint="f2" w:val="0D0D0D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themeColor="text1" w:themeTint="f2" w:val="0D0D0D"/>
                <w:kern w:val="0"/>
                <w:sz w:val="18"/>
                <w:szCs w:val="18"/>
                <w:lang w:val="ru-RU" w:eastAsia="en-US" w:bidi="ar-SA"/>
              </w:rPr>
              <w:t>3231402.08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>
        <w:rPr/>
        <w:drawing>
          <wp:inline distT="0" distB="0" distL="0" distR="0">
            <wp:extent cx="5940425" cy="592899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Масштаб 1:5000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Условные обозначения: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 xml:space="preserve">   </w:t>
      </w:r>
      <w:r>
        <w:rPr/>
        <w:drawing>
          <wp:inline distT="0" distB="0" distL="0" distR="0">
            <wp:extent cx="342900" cy="38100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- Граница образуемого земельного участка;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</w:t>
      </w:r>
      <w:r>
        <w:rPr/>
        <w:drawing>
          <wp:inline distT="0" distB="0" distL="0" distR="0">
            <wp:extent cx="344805" cy="26035"/>
            <wp:effectExtent l="0" t="0" r="0" b="0"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- Граница земельного участка, сведения о котором имеются в ЕГРН;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</w:t>
      </w:r>
      <w:r>
        <w:rPr>
          <w:rFonts w:cs="Times New Roman"/>
          <w:b/>
          <w:bCs/>
          <w:sz w:val="20"/>
          <w:szCs w:val="20"/>
        </w:rPr>
        <w:t>н1 - характерная точка границы земельного участка, полученная в ходе проведения кадастровых работ;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</w:t>
      </w:r>
      <w:r>
        <w:rPr>
          <w:rFonts w:cs="Times New Roman"/>
          <w:b/>
          <w:bCs/>
          <w:sz w:val="20"/>
          <w:szCs w:val="20"/>
        </w:rPr>
        <w:t>15 - характерная точка границы земельного участка, сведения о которой имеются в ЕГРН;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/>
          <w:b/>
          <w:bCs/>
          <w:color w:themeColor="accent1" w:themeShade="bf" w:val="2F5496"/>
          <w:sz w:val="20"/>
          <w:szCs w:val="20"/>
        </w:rPr>
        <w:t xml:space="preserve">38:17:010122 </w:t>
      </w:r>
      <w:r>
        <w:rPr>
          <w:rFonts w:cs="Times New Roman"/>
          <w:b/>
          <w:bCs/>
          <w:sz w:val="20"/>
          <w:szCs w:val="20"/>
        </w:rPr>
        <w:t>– кадастровый номер кадастрового квартала;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themeColor="text1" w:themeTint="f2" w:val="0D0D0D"/>
          <w:sz w:val="20"/>
          <w:szCs w:val="20"/>
        </w:rPr>
      </w:pPr>
      <w:r>
        <w:rPr>
          <w:b/>
          <w:bCs/>
          <w:color w:themeColor="text1" w:themeTint="f2" w:val="0D0D0D"/>
          <w:sz w:val="20"/>
          <w:szCs w:val="20"/>
        </w:rPr>
        <w:t>:ЗУ1(1) - обозначение земельного участка, в отношении которого проводятся кадастровые работы.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35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 w:customStyle="1">
    <w:name w:val="FollowedHyperlink"/>
    <w:rsid w:val="00ba4985"/>
    <w:rPr>
      <w:color w:val="800000"/>
      <w:u w:val="single"/>
    </w:rPr>
  </w:style>
  <w:style w:type="character" w:styleId="Style14">
    <w:name w:val="Текст выноски Знак"/>
    <w:qFormat/>
    <w:rPr>
      <w:rFonts w:ascii="Segoe UI" w:hAnsi="Segoe UI" w:eastAsia="Times New Roman" w:cs="Segoe UI"/>
      <w:color w:val="000000"/>
      <w:sz w:val="18"/>
      <w:szCs w:val="18"/>
    </w:rPr>
  </w:style>
  <w:style w:type="paragraph" w:styleId="Style15" w:customStyle="1">
    <w:name w:val="Заголовок"/>
    <w:basedOn w:val="Normal"/>
    <w:next w:val="BodyText"/>
    <w:qFormat/>
    <w:rsid w:val="0089170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891702"/>
    <w:pPr>
      <w:spacing w:lineRule="auto" w:line="288" w:before="0" w:after="140"/>
    </w:pPr>
    <w:rPr/>
  </w:style>
  <w:style w:type="paragraph" w:styleId="List">
    <w:name w:val="List"/>
    <w:basedOn w:val="BodyText"/>
    <w:rsid w:val="00891702"/>
    <w:pPr/>
    <w:rPr>
      <w:rFonts w:cs="Mangal"/>
    </w:rPr>
  </w:style>
  <w:style w:type="paragraph" w:styleId="Caption" w:customStyle="1">
    <w:name w:val="Caption"/>
    <w:basedOn w:val="Normal"/>
    <w:qFormat/>
    <w:rsid w:val="008917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91702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41c4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000000"/>
      <w:kern w:val="0"/>
      <w:sz w:val="20"/>
      <w:szCs w:val="20"/>
      <w:lang w:val="ru-RU" w:eastAsia="zh-CN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LibreOffice/7.6.0.3$Windows_X86_64 LibreOffice_project/69edd8b8ebc41d00b4de3915dc82f8f0fc3b6265</Application>
  <AppVersion>15.0000</AppVersion>
  <Pages>3</Pages>
  <Words>403</Words>
  <Characters>2940</Characters>
  <CharactersWithSpaces>3260</CharactersWithSpaces>
  <Paragraphs>106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2024-08-22T15:22:04Z</cp:lastPrinted>
  <dcterms:modified xsi:type="dcterms:W3CDTF">2024-08-29T14:39:54Z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