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3868E1">
        <w:trPr>
          <w:trHeight w:val="2693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3868E1" w:rsidRDefault="00C10D7D">
            <w:pPr>
              <w:keepNext/>
              <w:spacing w:after="0" w:line="360" w:lineRule="auto"/>
              <w:jc w:val="center"/>
              <w:outlineLvl w:val="0"/>
              <w:rPr>
                <w:rFonts w:eastAsia="Times New Roman" w:cs="Arial Unicode MS"/>
                <w:b/>
                <w:sz w:val="28"/>
                <w:szCs w:val="20"/>
                <w:lang w:eastAsia="ru-RU"/>
              </w:rPr>
            </w:pPr>
            <w:r>
              <w:rPr>
                <w:rFonts w:eastAsia="Times New Roman" w:cs="Arial Unicode MS"/>
                <w:b/>
                <w:sz w:val="28"/>
                <w:szCs w:val="20"/>
                <w:lang w:eastAsia="ru-RU"/>
              </w:rPr>
              <w:t>Р о с с и й с к а я  Ф е д е р а ц и я</w:t>
            </w:r>
          </w:p>
          <w:p w:rsidR="003868E1" w:rsidRDefault="00C10D7D">
            <w:pPr>
              <w:keepNext/>
              <w:spacing w:after="0" w:line="240" w:lineRule="auto"/>
              <w:jc w:val="center"/>
              <w:outlineLvl w:val="4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Иркутская область</w:t>
            </w:r>
          </w:p>
          <w:p w:rsidR="003868E1" w:rsidRDefault="00C10D7D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Тайшетский муниципальный округ Иркутской области</w:t>
            </w:r>
          </w:p>
          <w:p w:rsidR="003868E1" w:rsidRDefault="00C10D7D">
            <w:pPr>
              <w:keepNext/>
              <w:spacing w:after="0" w:line="240" w:lineRule="auto"/>
              <w:jc w:val="center"/>
              <w:outlineLvl w:val="5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ДУМА ТАЙШЕТСКОГО МУНИЦИПАЛЬНОГО ОКРУГА</w:t>
            </w:r>
          </w:p>
          <w:p w:rsidR="003868E1" w:rsidRDefault="00C10D7D">
            <w:pPr>
              <w:keepNext/>
              <w:spacing w:after="0" w:line="240" w:lineRule="auto"/>
              <w:jc w:val="center"/>
              <w:outlineLvl w:val="5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 xml:space="preserve">ИРКУТСКОЙ ОБЛАСТИ </w:t>
            </w:r>
          </w:p>
          <w:p w:rsidR="003868E1" w:rsidRDefault="003868E1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  <w:lang w:eastAsia="ru-RU"/>
              </w:rPr>
            </w:pPr>
          </w:p>
          <w:p w:rsidR="003868E1" w:rsidRDefault="00C10D7D">
            <w:pPr>
              <w:keepNext/>
              <w:spacing w:after="0" w:line="240" w:lineRule="auto"/>
              <w:jc w:val="center"/>
              <w:outlineLvl w:val="6"/>
              <w:rPr>
                <w:rFonts w:eastAsia="Times New Roman"/>
                <w:b/>
                <w:sz w:val="44"/>
                <w:szCs w:val="20"/>
                <w:lang w:eastAsia="ru-RU"/>
              </w:rPr>
            </w:pPr>
            <w:r>
              <w:rPr>
                <w:rFonts w:eastAsia="Times New Roman"/>
                <w:b/>
                <w:sz w:val="44"/>
                <w:szCs w:val="20"/>
                <w:lang w:eastAsia="ru-RU"/>
              </w:rPr>
              <w:t xml:space="preserve">РЕШЕНИЕ </w:t>
            </w:r>
          </w:p>
        </w:tc>
      </w:tr>
    </w:tbl>
    <w:p w:rsidR="003868E1" w:rsidRDefault="003868E1">
      <w:pPr>
        <w:spacing w:after="0" w:line="240" w:lineRule="auto"/>
        <w:ind w:right="-568"/>
        <w:rPr>
          <w:rFonts w:eastAsia="Times New Roman"/>
          <w:sz w:val="24"/>
          <w:szCs w:val="20"/>
          <w:lang w:eastAsia="ru-RU"/>
        </w:rPr>
      </w:pPr>
    </w:p>
    <w:p w:rsidR="003868E1" w:rsidRDefault="00C10D7D">
      <w:pPr>
        <w:spacing w:after="0" w:line="240" w:lineRule="auto"/>
        <w:jc w:val="both"/>
        <w:rPr>
          <w:rFonts w:eastAsia="Times New Roman"/>
          <w:sz w:val="24"/>
          <w:szCs w:val="20"/>
          <w:lang w:eastAsia="ru-RU"/>
        </w:rPr>
      </w:pPr>
      <w:r>
        <w:rPr>
          <w:rFonts w:eastAsia="Times New Roman"/>
          <w:sz w:val="24"/>
          <w:szCs w:val="20"/>
          <w:lang w:eastAsia="ru-RU"/>
        </w:rPr>
        <w:t>от «30</w:t>
      </w:r>
      <w:r>
        <w:rPr>
          <w:rFonts w:eastAsia="Times New Roman"/>
          <w:sz w:val="24"/>
          <w:szCs w:val="20"/>
          <w:lang w:eastAsia="ru-RU"/>
        </w:rPr>
        <w:t xml:space="preserve">» сентября 2026 года                         </w:t>
      </w:r>
      <w:r>
        <w:rPr>
          <w:rFonts w:eastAsia="Times New Roman"/>
          <w:sz w:val="24"/>
          <w:szCs w:val="20"/>
          <w:lang w:eastAsia="ru-RU"/>
        </w:rPr>
        <w:t xml:space="preserve">                              </w:t>
      </w:r>
      <w:r>
        <w:rPr>
          <w:rFonts w:eastAsia="Times New Roman"/>
          <w:sz w:val="24"/>
          <w:szCs w:val="20"/>
          <w:lang w:eastAsia="ru-RU"/>
        </w:rPr>
        <w:tab/>
        <w:t xml:space="preserve">                             </w:t>
      </w:r>
      <w:r>
        <w:rPr>
          <w:rFonts w:eastAsia="Times New Roman"/>
          <w:sz w:val="24"/>
          <w:szCs w:val="20"/>
          <w:lang w:eastAsia="ru-RU"/>
        </w:rPr>
        <w:t xml:space="preserve">    № 440</w:t>
      </w:r>
    </w:p>
    <w:p w:rsidR="003868E1" w:rsidRDefault="003868E1">
      <w:pPr>
        <w:spacing w:after="0" w:line="240" w:lineRule="auto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Об обращениях в адрес Законодательного Собрания Иркутской области и Губернатора Иркутской области о необходимости сохранения механизмов инициативного бюджетирования и финансирования инициативных пр</w:t>
      </w:r>
      <w:r>
        <w:rPr>
          <w:sz w:val="24"/>
          <w:szCs w:val="24"/>
        </w:rPr>
        <w:t xml:space="preserve">оектов из областного бюджета  </w:t>
      </w:r>
    </w:p>
    <w:p w:rsidR="003868E1" w:rsidRDefault="003868E1">
      <w:pPr>
        <w:spacing w:after="0" w:line="240" w:lineRule="auto"/>
        <w:jc w:val="both"/>
        <w:rPr>
          <w:sz w:val="24"/>
          <w:szCs w:val="24"/>
        </w:rPr>
      </w:pPr>
    </w:p>
    <w:p w:rsidR="003868E1" w:rsidRDefault="003868E1">
      <w:pPr>
        <w:spacing w:after="0" w:line="240" w:lineRule="auto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highlight w:val="white"/>
          <w:lang w:eastAsia="ru-RU"/>
        </w:rPr>
        <w:t>В целях формирования единой позиции по вопросу сохранения и развития инициативного бюджетирования, поддержки местных инициатив в Иркутской области и перспективах выделения средств из областного бюджета на реализацию инициат</w:t>
      </w:r>
      <w:r>
        <w:rPr>
          <w:rFonts w:eastAsia="Times New Roman"/>
          <w:sz w:val="24"/>
          <w:szCs w:val="24"/>
          <w:highlight w:val="white"/>
          <w:lang w:eastAsia="ru-RU"/>
        </w:rPr>
        <w:t xml:space="preserve">ивных проектов в 2027 году и последующие годы, руководствуясь </w:t>
      </w:r>
      <w:r>
        <w:rPr>
          <w:sz w:val="24"/>
          <w:szCs w:val="24"/>
          <w:highlight w:val="white"/>
        </w:rPr>
        <w:t>Фед</w:t>
      </w:r>
      <w:r>
        <w:rPr>
          <w:sz w:val="24"/>
          <w:szCs w:val="24"/>
        </w:rPr>
        <w:t>еральным законом от 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</w:t>
      </w:r>
      <w:r>
        <w:rPr>
          <w:sz w:val="24"/>
          <w:szCs w:val="24"/>
        </w:rPr>
        <w:t>ринципах организации местного самоуправления в единой системе публичной власти»</w:t>
      </w:r>
      <w:r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sz w:val="24"/>
          <w:szCs w:val="24"/>
        </w:rPr>
        <w:t>статьями 6, 21, 36 Устава Тайшетского муниципального округа Иркутской области, Дума  Тайшетского муниципального округа Иркутской области</w:t>
      </w:r>
    </w:p>
    <w:p w:rsidR="003868E1" w:rsidRDefault="003868E1">
      <w:pPr>
        <w:spacing w:after="0" w:line="240" w:lineRule="auto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РЕШИЛА:</w:t>
      </w:r>
    </w:p>
    <w:p w:rsidR="003868E1" w:rsidRDefault="003868E1">
      <w:pPr>
        <w:spacing w:after="0" w:line="240" w:lineRule="auto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Обратиться к Губернатору</w:t>
      </w:r>
      <w:r>
        <w:rPr>
          <w:sz w:val="24"/>
          <w:szCs w:val="24"/>
        </w:rPr>
        <w:t xml:space="preserve"> Иркутской области И.И. Кобзеву о необходимости сохранения механизмов инициативного бюджетирования и финансирования из областного бюджета инициативных проектов, согласно приложению 1.</w:t>
      </w:r>
    </w:p>
    <w:p w:rsidR="003868E1" w:rsidRDefault="00C10D7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Обратиться в Законодательное Собрание Иркутской области о необходимос</w:t>
      </w:r>
      <w:r>
        <w:rPr>
          <w:sz w:val="24"/>
          <w:szCs w:val="24"/>
        </w:rPr>
        <w:t>ти сохранения механизмов инициативного бюджетирования и финансирования из областного бюджета инициативных проектов, согласно приложению 2.</w:t>
      </w:r>
    </w:p>
    <w:p w:rsidR="003868E1" w:rsidRDefault="00C10D7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Направить настоящее решение Думы Тайшетского муниципального округа Иркутской области Губернатору Иркутской области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 xml:space="preserve">Кобзеву И.И. </w:t>
      </w:r>
      <w:r>
        <w:rPr>
          <w:sz w:val="24"/>
          <w:szCs w:val="24"/>
        </w:rPr>
        <w:t xml:space="preserve">и председателю Законодательного собрания Иркутской области Ведерникову А.В. для работы, проводимой в рамках формирования областного бюджета на 2027 год и на плановый период 2028 и 2029 годов. 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spacing w:after="0" w:line="240" w:lineRule="auto"/>
        <w:ind w:firstLine="709"/>
        <w:jc w:val="both"/>
      </w:pPr>
      <w:r>
        <w:rPr>
          <w:sz w:val="24"/>
          <w:szCs w:val="24"/>
        </w:rPr>
        <w:t xml:space="preserve">4. </w:t>
      </w:r>
      <w:r>
        <w:rPr>
          <w:rFonts w:eastAsia="Times New Roman"/>
          <w:color w:val="000000"/>
          <w:sz w:val="24"/>
        </w:rPr>
        <w:t>Разместить настоящее решение на официальном са</w:t>
      </w:r>
      <w:r>
        <w:rPr>
          <w:rFonts w:eastAsia="Times New Roman"/>
          <w:color w:val="000000"/>
          <w:sz w:val="24"/>
        </w:rPr>
        <w:t>йте Администрации Тайшетского муниципального округа.</w:t>
      </w:r>
    </w:p>
    <w:p w:rsidR="003868E1" w:rsidRDefault="00C10D7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  Настоящее решение вступает в силу со дня его принятия. </w:t>
      </w:r>
    </w:p>
    <w:p w:rsidR="003868E1" w:rsidRDefault="003868E1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3868E1" w:rsidRDefault="003868E1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3868E1" w:rsidRDefault="003868E1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Думы</w:t>
      </w:r>
    </w:p>
    <w:p w:rsidR="003868E1" w:rsidRDefault="00C10D7D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Тайшетского муниципального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       И.В.  Ронжина</w:t>
      </w:r>
    </w:p>
    <w:p w:rsidR="003868E1" w:rsidRDefault="003868E1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3868E1" w:rsidRDefault="00C10D7D">
      <w:pPr>
        <w:spacing w:after="0"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Думы Тайшетского </w:t>
      </w:r>
    </w:p>
    <w:p w:rsidR="003868E1" w:rsidRDefault="00C10D7D">
      <w:pPr>
        <w:spacing w:after="0"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округа Иркутской области</w:t>
      </w:r>
    </w:p>
    <w:p w:rsidR="003868E1" w:rsidRDefault="00C10D7D">
      <w:pPr>
        <w:tabs>
          <w:tab w:val="left" w:pos="4962"/>
        </w:tabs>
        <w:spacing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от «30</w:t>
      </w:r>
      <w:r>
        <w:rPr>
          <w:sz w:val="24"/>
          <w:szCs w:val="24"/>
        </w:rPr>
        <w:t>» сентября 2026 года № 440</w:t>
      </w: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Губернатору Иркутской области </w:t>
      </w:r>
    </w:p>
    <w:p w:rsidR="003868E1" w:rsidRDefault="00C10D7D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И.И. Кобзеву</w:t>
      </w: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hanging="14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 сохранении и развитии </w:t>
      </w:r>
    </w:p>
    <w:p w:rsidR="003868E1" w:rsidRDefault="00C10D7D">
      <w:pPr>
        <w:spacing w:after="0"/>
        <w:ind w:hanging="14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инициативного бюджетирования</w:t>
      </w: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Уважаемый Игорь Иванович!</w:t>
      </w: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Мы, депутаты Думы Тайшетского муниципального округа Иркутской области, от имени наших избирателей и в интересах жителей всех населённых пунктов округа обращаемся к вам с просьбой поддержать дальнейшее продление и финансирование механизма инициативного бюдж</w:t>
      </w:r>
      <w:r>
        <w:rPr>
          <w:rFonts w:eastAsia="Times New Roman"/>
          <w:color w:val="000000"/>
          <w:sz w:val="24"/>
        </w:rPr>
        <w:t>етирования, в том числе регионального конкурса «Есть Решение».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Инициативное бюджетирование доказало свою эффективность на практике. Это не просто механизм финансирования — это инструмент, который позволяет решать насущные проблемы наших территорий и вовлек</w:t>
      </w:r>
      <w:r>
        <w:rPr>
          <w:rFonts w:eastAsia="Times New Roman"/>
          <w:color w:val="000000"/>
          <w:sz w:val="24"/>
        </w:rPr>
        <w:t>ает людей в обсуждение того, что действительно важно для их города, посёлка или села.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За время его действия мы увидели реальные результаты: благоустроенные дворы, отремонтированные дороги, спортивные и детские площадки, установленные новые остановочные пун</w:t>
      </w:r>
      <w:r>
        <w:rPr>
          <w:rFonts w:eastAsia="Times New Roman"/>
          <w:color w:val="000000"/>
          <w:sz w:val="24"/>
        </w:rPr>
        <w:t xml:space="preserve">кты, обновленные учреждения культуры и образования. 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За четыре года в Тайшетском муниципальном округе реализовано 59 инициативных проектов на общую сумму 145,7 млн. рублей, из которых 116,3 млн. рублей составили средства областного бюджета, а остальная час</w:t>
      </w:r>
      <w:r>
        <w:rPr>
          <w:rFonts w:eastAsia="Times New Roman"/>
          <w:color w:val="000000"/>
          <w:sz w:val="24"/>
        </w:rPr>
        <w:t>ть — вклад жителей округа, местного бизнеса и социально ответственной Компании «РУСАЛ».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С 1 июня 2026 года в Иркутской области был объявлен ежегодный конкурс инициативного бюджетирования «Есть Решение», в котором жители Тайшетского муниципального округа пр</w:t>
      </w:r>
      <w:r>
        <w:rPr>
          <w:rFonts w:eastAsia="Times New Roman"/>
          <w:color w:val="000000"/>
          <w:sz w:val="24"/>
        </w:rPr>
        <w:t>инимают активное участие. Основной формой вовлечения населения стали собрания граждан, на которых обсуждаются и отбираются проекты для выдвижения. Именно таким образом были определены инициативы, планируемые к реализации в 2027 году.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В 2027 году на террито</w:t>
      </w:r>
      <w:r>
        <w:rPr>
          <w:rFonts w:eastAsia="Times New Roman"/>
          <w:color w:val="000000"/>
          <w:sz w:val="24"/>
        </w:rPr>
        <w:t>рии Тайшетского муниципального округа планируется реализовать 20 инициативных проектов: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15 проектов — в городе Тайшете;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2 проекта — в городе Бирюсинске;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1 проект — в посёлке Юрты;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1 проект — в посёлке Квиток;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1 проект — в селе Березовка.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Эти проекты готови</w:t>
      </w:r>
      <w:r>
        <w:rPr>
          <w:rFonts w:eastAsia="Times New Roman"/>
          <w:color w:val="000000"/>
          <w:sz w:val="24"/>
        </w:rPr>
        <w:t>лись совместно с жителями, обсуждались на собраниях граждан и в трудовых коллективах. Именно поэтому они так нужны людям.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Как депутаты, работающие непосредственно с людьми, мы видим, насколько важен этот механизм для наших территорий. Мы видим, как он спла</w:t>
      </w:r>
      <w:r>
        <w:rPr>
          <w:rFonts w:eastAsia="Times New Roman"/>
          <w:color w:val="000000"/>
          <w:sz w:val="24"/>
        </w:rPr>
        <w:t>чивает жителей, как учит их ответственности за свою малую родину, как укрепляет доверие между властью и обществом. Мы видим, как в небольших сёлах и посёлках, где бюджетных средств всегда не хватает, именно инициативное бюджетирование позволяет решить самы</w:t>
      </w:r>
      <w:r>
        <w:rPr>
          <w:rFonts w:eastAsia="Times New Roman"/>
          <w:color w:val="000000"/>
          <w:sz w:val="24"/>
        </w:rPr>
        <w:t>е наболевшие проблемы.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lastRenderedPageBreak/>
        <w:t>От имени наших избирателей, от имени всех жителей Тайшетского муниципального округа, мы обращаемся к вам с просьбой: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1. Обеспечить сохранение и дальнейшее финансирование инициативного бюджетирования в Иркутской области.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2.  Предусмот</w:t>
      </w:r>
      <w:r>
        <w:rPr>
          <w:rFonts w:eastAsia="Times New Roman"/>
          <w:color w:val="000000"/>
          <w:sz w:val="24"/>
        </w:rPr>
        <w:t>реть средства на реализацию инициативных проектов в областном бюджете на 2027 год и последующие годы.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3. Продлить действие конкурса «Есть Решение» как проверенного и востребованного механизма поддержки гражданских инициатив.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 xml:space="preserve">4. Увеличить </w:t>
      </w:r>
      <w:r>
        <w:t>объём финансирования на реализацию проектов инициативного бюджетирования по сравнению с уровнем 2026 года на 20%</w:t>
      </w:r>
      <w:r>
        <w:rPr>
          <w:rFonts w:eastAsia="Times New Roman"/>
          <w:color w:val="000000"/>
          <w:sz w:val="24"/>
        </w:rPr>
        <w:t>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</w:rPr>
        <w:t>Мы готовы к конструктивному взаимодействию и совместной работе по защите интересов наших жителей.</w:t>
      </w:r>
    </w:p>
    <w:p w:rsidR="003868E1" w:rsidRDefault="003868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  <w:szCs w:val="24"/>
        </w:rPr>
      </w:pPr>
    </w:p>
    <w:p w:rsidR="003868E1" w:rsidRDefault="003868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  <w:szCs w:val="24"/>
        </w:rPr>
      </w:pPr>
    </w:p>
    <w:p w:rsidR="003868E1" w:rsidRDefault="003868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Думы</w:t>
      </w:r>
    </w:p>
    <w:p w:rsidR="003868E1" w:rsidRDefault="00C10D7D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Тайшетского муниципального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И.В.  Ронжина</w:t>
      </w:r>
    </w:p>
    <w:p w:rsidR="003868E1" w:rsidRDefault="003868E1">
      <w:pPr>
        <w:spacing w:after="0"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3868E1" w:rsidRDefault="00C10D7D">
      <w:pPr>
        <w:spacing w:after="0"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Думы Тайшетского </w:t>
      </w:r>
    </w:p>
    <w:p w:rsidR="003868E1" w:rsidRDefault="00C10D7D">
      <w:pPr>
        <w:spacing w:after="0"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округа Иркутской области</w:t>
      </w:r>
    </w:p>
    <w:p w:rsidR="003868E1" w:rsidRDefault="00C10D7D">
      <w:pPr>
        <w:tabs>
          <w:tab w:val="left" w:pos="4962"/>
        </w:tabs>
        <w:spacing w:line="240" w:lineRule="auto"/>
        <w:ind w:right="-285" w:firstLine="170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от «30» сентября 2026 года № 440</w:t>
      </w:r>
      <w:bookmarkStart w:id="0" w:name="_GoBack"/>
      <w:bookmarkEnd w:id="0"/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Председателю Законодательного Собрания Иркутской области </w:t>
      </w:r>
    </w:p>
    <w:p w:rsidR="003868E1" w:rsidRDefault="00C10D7D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А.В. Ведерникову</w:t>
      </w: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hanging="14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 сохранении и развитии </w:t>
      </w:r>
    </w:p>
    <w:p w:rsidR="003868E1" w:rsidRDefault="00C10D7D">
      <w:pPr>
        <w:spacing w:after="0"/>
        <w:ind w:hanging="142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инициативного бюджетирования</w:t>
      </w: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Уважаемый Александр Викторович!</w:t>
      </w: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Мы, депутаты Думы Тайшетского муниципального округа Иркутской области, от имени наших избирателей и в интересах жителей всех населённых пунктов округа обращаемся к вам с просьбой поддержать дальнейшее продление и финансирование механизма инициативного бюдж</w:t>
      </w:r>
      <w:r>
        <w:rPr>
          <w:rFonts w:eastAsia="Times New Roman"/>
          <w:color w:val="000000"/>
          <w:sz w:val="24"/>
        </w:rPr>
        <w:t>етирования, в том числе регионального конкурса «Есть Решение».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Инициативное бюджетирование доказало свою эффективность на практике. Это не просто механизм финансирования — это инструмент, который позволяет решать насущные проблемы наших территорий и вовлек</w:t>
      </w:r>
      <w:r>
        <w:rPr>
          <w:rFonts w:eastAsia="Times New Roman"/>
          <w:color w:val="000000"/>
          <w:sz w:val="24"/>
        </w:rPr>
        <w:t>ает людей в обсуждение того, что действительно важно для их города, посёлка или села.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За время его действия мы увидели реальные результаты: благоустроенные дворы, отремонтированные дороги, спортивные и детские площадки, установленные новые остановочные пун</w:t>
      </w:r>
      <w:r>
        <w:rPr>
          <w:rFonts w:eastAsia="Times New Roman"/>
          <w:color w:val="000000"/>
          <w:sz w:val="24"/>
        </w:rPr>
        <w:t xml:space="preserve">кты, обновленные учреждения культуры и образования. 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За четыре года в Тайшетском муниципальном округе реализовано 59 инициативных проектов на общую сумму 145,7 млн. рублей, из которых 116,3 млн. рублей составили средства областного бюджета, а остальная час</w:t>
      </w:r>
      <w:r>
        <w:rPr>
          <w:rFonts w:eastAsia="Times New Roman"/>
          <w:color w:val="000000"/>
          <w:sz w:val="24"/>
        </w:rPr>
        <w:t>ть — вклад жителей округа, местного бизнеса и социально ответственной Компании «РУСАЛ».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С 1 июня 2026 года в Иркутской области был объявлен ежегодный конкурс инициативного бюджетирования «Есть Решение», в котором жители Тайшетского муниципального округа пр</w:t>
      </w:r>
      <w:r>
        <w:rPr>
          <w:rFonts w:eastAsia="Times New Roman"/>
          <w:color w:val="000000"/>
          <w:sz w:val="24"/>
        </w:rPr>
        <w:t>инимают активное участие. Основной формой вовлечения населения стали собрания граждан, на которых обсуждаются и отбираются проекты для выдвижения. Именно таким образом были определены инициативы, планируемые к реализации в 2027 году.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В 2027 году на террито</w:t>
      </w:r>
      <w:r>
        <w:rPr>
          <w:rFonts w:eastAsia="Times New Roman"/>
          <w:color w:val="000000"/>
          <w:sz w:val="24"/>
        </w:rPr>
        <w:t>рии Тайшетского муниципального округа планируется реализовать 20 инициативных проектов: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15 проектов — в городе Тайшете;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2 проекта — в городе Бирюсинске;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1 проект — в посёлке Юрты;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1 проект — в посёлке Квиток;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1 проект — в селе Березовка.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Эти проекты готови</w:t>
      </w:r>
      <w:r>
        <w:rPr>
          <w:rFonts w:eastAsia="Times New Roman"/>
          <w:color w:val="000000"/>
          <w:sz w:val="24"/>
        </w:rPr>
        <w:t>лись совместно с жителями, обсуждались на собраниях граждан и в трудовых коллективах. Именно поэтому они так нужны людям.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Как депутаты, работающие непосредственно с людьми, мы видим, насколько важен этот механизм для наших территорий. Мы видим, как он спла</w:t>
      </w:r>
      <w:r>
        <w:rPr>
          <w:rFonts w:eastAsia="Times New Roman"/>
          <w:color w:val="000000"/>
          <w:sz w:val="24"/>
        </w:rPr>
        <w:t xml:space="preserve">чивает жителей, как учит их ответственности за свою малую родину, как укрепляет доверие между властью и обществом. Мы видим, как в небольших сёлах и посёлках, где бюджетных средств всегда </w:t>
      </w:r>
      <w:r>
        <w:rPr>
          <w:rFonts w:eastAsia="Times New Roman"/>
          <w:color w:val="000000"/>
          <w:sz w:val="24"/>
        </w:rPr>
        <w:lastRenderedPageBreak/>
        <w:t>не хватает, именно инициативное бюджетирование позволяет решить самы</w:t>
      </w:r>
      <w:r>
        <w:rPr>
          <w:rFonts w:eastAsia="Times New Roman"/>
          <w:color w:val="000000"/>
          <w:sz w:val="24"/>
        </w:rPr>
        <w:t>е наболевшие проблемы.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От имени наших избирателей, от имени всех жителей Тайшетского муниципального округа, мы обращаемся к вам с просьбой: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</w:rPr>
      </w:pPr>
      <w:r>
        <w:rPr>
          <w:rFonts w:eastAsia="Times New Roman"/>
          <w:color w:val="000000"/>
          <w:sz w:val="24"/>
        </w:rPr>
        <w:t>1. Обеспечить сохранение и дальнейшее финансирование инициативного бюджетирования в Иркутской области.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>2. Предусмотреть средства на реализацию инициативных проектов в областном бюджете на 2027 год и последующие годы.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3. Продлить действие конкурса «Есть Решение» как проверенного и востребованного механизма поддержки гражданских инициатив.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</w:pPr>
      <w:r>
        <w:rPr>
          <w:rFonts w:eastAsia="Times New Roman"/>
          <w:color w:val="000000"/>
          <w:sz w:val="24"/>
        </w:rPr>
        <w:t xml:space="preserve">4. Увеличить </w:t>
      </w:r>
      <w:r>
        <w:t xml:space="preserve">объём </w:t>
      </w:r>
      <w:r>
        <w:t>финансирования на реализацию проектов инициативного бюджетирования по сравнению с уровнем 2026 года на 20%</w:t>
      </w:r>
      <w:r>
        <w:rPr>
          <w:rFonts w:eastAsia="Times New Roman"/>
          <w:color w:val="000000"/>
          <w:sz w:val="24"/>
        </w:rPr>
        <w:t>.</w:t>
      </w:r>
    </w:p>
    <w:p w:rsidR="003868E1" w:rsidRDefault="00C10D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</w:rPr>
        <w:t>Мы готовы к конструктивному взаимодействию и совместной работе по защите интересов наших жителей.</w:t>
      </w:r>
    </w:p>
    <w:p w:rsidR="003868E1" w:rsidRDefault="003868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  <w:szCs w:val="24"/>
        </w:rPr>
      </w:pPr>
    </w:p>
    <w:p w:rsidR="003868E1" w:rsidRDefault="003868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  <w:szCs w:val="24"/>
        </w:rPr>
      </w:pPr>
    </w:p>
    <w:p w:rsidR="003868E1" w:rsidRDefault="003868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57" w:lineRule="atLeast"/>
        <w:ind w:firstLine="709"/>
        <w:jc w:val="both"/>
        <w:rPr>
          <w:sz w:val="24"/>
          <w:szCs w:val="24"/>
        </w:rPr>
      </w:pPr>
    </w:p>
    <w:p w:rsidR="003868E1" w:rsidRDefault="00C10D7D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Думы</w:t>
      </w:r>
    </w:p>
    <w:p w:rsidR="003868E1" w:rsidRDefault="00C10D7D">
      <w:pPr>
        <w:spacing w:after="0" w:line="240" w:lineRule="auto"/>
        <w:ind w:right="-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Тайшетского муниц</w:t>
      </w:r>
      <w:r>
        <w:rPr>
          <w:rFonts w:eastAsia="Times New Roman"/>
          <w:sz w:val="24"/>
          <w:szCs w:val="24"/>
          <w:lang w:eastAsia="ru-RU"/>
        </w:rPr>
        <w:t>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И.В.  Ронжина</w:t>
      </w:r>
    </w:p>
    <w:p w:rsidR="003868E1" w:rsidRDefault="003868E1">
      <w:pPr>
        <w:spacing w:after="0"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firstLine="567"/>
        <w:jc w:val="center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3868E1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3868E1" w:rsidRDefault="00C10D7D">
      <w:pPr>
        <w:spacing w:after="0"/>
        <w:ind w:firstLine="439"/>
        <w:jc w:val="right"/>
      </w:pPr>
      <w:r>
        <w:t xml:space="preserve"> </w:t>
      </w:r>
    </w:p>
    <w:sectPr w:rsidR="003868E1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8E1" w:rsidRDefault="00C10D7D">
      <w:pPr>
        <w:spacing w:after="0" w:line="240" w:lineRule="auto"/>
      </w:pPr>
      <w:r>
        <w:separator/>
      </w:r>
    </w:p>
  </w:endnote>
  <w:endnote w:type="continuationSeparator" w:id="0">
    <w:p w:rsidR="003868E1" w:rsidRDefault="00C10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_CenturyOldStyl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8E1" w:rsidRDefault="00C10D7D">
      <w:pPr>
        <w:spacing w:after="0" w:line="240" w:lineRule="auto"/>
      </w:pPr>
      <w:r>
        <w:separator/>
      </w:r>
    </w:p>
  </w:footnote>
  <w:footnote w:type="continuationSeparator" w:id="0">
    <w:p w:rsidR="003868E1" w:rsidRDefault="00C10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8E1" w:rsidRDefault="00C10D7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725D7"/>
    <w:multiLevelType w:val="hybridMultilevel"/>
    <w:tmpl w:val="E876BC70"/>
    <w:lvl w:ilvl="0" w:tplc="CC20A5F0">
      <w:start w:val="1"/>
      <w:numFmt w:val="decimal"/>
      <w:lvlText w:val="%1."/>
      <w:lvlJc w:val="left"/>
      <w:pPr>
        <w:ind w:left="1069" w:hanging="360"/>
      </w:pPr>
    </w:lvl>
    <w:lvl w:ilvl="1" w:tplc="8D3CA77C">
      <w:start w:val="1"/>
      <w:numFmt w:val="lowerLetter"/>
      <w:lvlText w:val="%2."/>
      <w:lvlJc w:val="left"/>
      <w:pPr>
        <w:ind w:left="1789" w:hanging="360"/>
      </w:pPr>
    </w:lvl>
    <w:lvl w:ilvl="2" w:tplc="BDE8E740">
      <w:start w:val="1"/>
      <w:numFmt w:val="lowerRoman"/>
      <w:lvlText w:val="%3."/>
      <w:lvlJc w:val="right"/>
      <w:pPr>
        <w:ind w:left="2509" w:hanging="180"/>
      </w:pPr>
    </w:lvl>
    <w:lvl w:ilvl="3" w:tplc="0A5E34F2">
      <w:start w:val="1"/>
      <w:numFmt w:val="decimal"/>
      <w:lvlText w:val="%4."/>
      <w:lvlJc w:val="left"/>
      <w:pPr>
        <w:ind w:left="3229" w:hanging="360"/>
      </w:pPr>
    </w:lvl>
    <w:lvl w:ilvl="4" w:tplc="86362FA8">
      <w:start w:val="1"/>
      <w:numFmt w:val="lowerLetter"/>
      <w:lvlText w:val="%5."/>
      <w:lvlJc w:val="left"/>
      <w:pPr>
        <w:ind w:left="3949" w:hanging="360"/>
      </w:pPr>
    </w:lvl>
    <w:lvl w:ilvl="5" w:tplc="8EF4A0D4">
      <w:start w:val="1"/>
      <w:numFmt w:val="lowerRoman"/>
      <w:lvlText w:val="%6."/>
      <w:lvlJc w:val="right"/>
      <w:pPr>
        <w:ind w:left="4669" w:hanging="180"/>
      </w:pPr>
    </w:lvl>
    <w:lvl w:ilvl="6" w:tplc="8BD02F90">
      <w:start w:val="1"/>
      <w:numFmt w:val="decimal"/>
      <w:lvlText w:val="%7."/>
      <w:lvlJc w:val="left"/>
      <w:pPr>
        <w:ind w:left="5389" w:hanging="360"/>
      </w:pPr>
    </w:lvl>
    <w:lvl w:ilvl="7" w:tplc="28A245B4">
      <w:start w:val="1"/>
      <w:numFmt w:val="lowerLetter"/>
      <w:lvlText w:val="%8."/>
      <w:lvlJc w:val="left"/>
      <w:pPr>
        <w:ind w:left="6109" w:hanging="360"/>
      </w:pPr>
    </w:lvl>
    <w:lvl w:ilvl="8" w:tplc="723A99A6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EB24FD"/>
    <w:multiLevelType w:val="hybridMultilevel"/>
    <w:tmpl w:val="76AAD4FA"/>
    <w:lvl w:ilvl="0" w:tplc="05B65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1E635A">
      <w:start w:val="1"/>
      <w:numFmt w:val="lowerLetter"/>
      <w:lvlText w:val="%2."/>
      <w:lvlJc w:val="left"/>
      <w:pPr>
        <w:ind w:left="1440" w:hanging="360"/>
      </w:pPr>
    </w:lvl>
    <w:lvl w:ilvl="2" w:tplc="FDBCA60A">
      <w:start w:val="1"/>
      <w:numFmt w:val="lowerRoman"/>
      <w:lvlText w:val="%3."/>
      <w:lvlJc w:val="right"/>
      <w:pPr>
        <w:ind w:left="2160" w:hanging="180"/>
      </w:pPr>
    </w:lvl>
    <w:lvl w:ilvl="3" w:tplc="4EEC3A56">
      <w:start w:val="1"/>
      <w:numFmt w:val="decimal"/>
      <w:lvlText w:val="%4."/>
      <w:lvlJc w:val="left"/>
      <w:pPr>
        <w:ind w:left="2880" w:hanging="360"/>
      </w:pPr>
    </w:lvl>
    <w:lvl w:ilvl="4" w:tplc="6A7A598E">
      <w:start w:val="1"/>
      <w:numFmt w:val="lowerLetter"/>
      <w:lvlText w:val="%5."/>
      <w:lvlJc w:val="left"/>
      <w:pPr>
        <w:ind w:left="3600" w:hanging="360"/>
      </w:pPr>
    </w:lvl>
    <w:lvl w:ilvl="5" w:tplc="FFEA3DB8">
      <w:start w:val="1"/>
      <w:numFmt w:val="lowerRoman"/>
      <w:lvlText w:val="%6."/>
      <w:lvlJc w:val="right"/>
      <w:pPr>
        <w:ind w:left="4320" w:hanging="180"/>
      </w:pPr>
    </w:lvl>
    <w:lvl w:ilvl="6" w:tplc="14182F14">
      <w:start w:val="1"/>
      <w:numFmt w:val="decimal"/>
      <w:lvlText w:val="%7."/>
      <w:lvlJc w:val="left"/>
      <w:pPr>
        <w:ind w:left="5040" w:hanging="360"/>
      </w:pPr>
    </w:lvl>
    <w:lvl w:ilvl="7" w:tplc="7A5A5FF6">
      <w:start w:val="1"/>
      <w:numFmt w:val="lowerLetter"/>
      <w:lvlText w:val="%8."/>
      <w:lvlJc w:val="left"/>
      <w:pPr>
        <w:ind w:left="5760" w:hanging="360"/>
      </w:pPr>
    </w:lvl>
    <w:lvl w:ilvl="8" w:tplc="B4B07A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24AB5"/>
    <w:multiLevelType w:val="hybridMultilevel"/>
    <w:tmpl w:val="767E1DA6"/>
    <w:lvl w:ilvl="0" w:tplc="ABCC5D80">
      <w:start w:val="1"/>
      <w:numFmt w:val="decimal"/>
      <w:lvlText w:val="%1."/>
      <w:lvlJc w:val="left"/>
      <w:pPr>
        <w:ind w:left="720" w:hanging="360"/>
      </w:pPr>
    </w:lvl>
    <w:lvl w:ilvl="1" w:tplc="4C2800FE">
      <w:start w:val="1"/>
      <w:numFmt w:val="lowerLetter"/>
      <w:lvlText w:val="%2."/>
      <w:lvlJc w:val="left"/>
      <w:pPr>
        <w:ind w:left="1440" w:hanging="360"/>
      </w:pPr>
    </w:lvl>
    <w:lvl w:ilvl="2" w:tplc="8262743C">
      <w:start w:val="1"/>
      <w:numFmt w:val="lowerRoman"/>
      <w:lvlText w:val="%3."/>
      <w:lvlJc w:val="right"/>
      <w:pPr>
        <w:ind w:left="2160" w:hanging="180"/>
      </w:pPr>
    </w:lvl>
    <w:lvl w:ilvl="3" w:tplc="8ED85C9C">
      <w:start w:val="1"/>
      <w:numFmt w:val="decimal"/>
      <w:lvlText w:val="%4."/>
      <w:lvlJc w:val="left"/>
      <w:pPr>
        <w:ind w:left="2880" w:hanging="360"/>
      </w:pPr>
    </w:lvl>
    <w:lvl w:ilvl="4" w:tplc="2DE61B32">
      <w:start w:val="1"/>
      <w:numFmt w:val="lowerLetter"/>
      <w:lvlText w:val="%5."/>
      <w:lvlJc w:val="left"/>
      <w:pPr>
        <w:ind w:left="3600" w:hanging="360"/>
      </w:pPr>
    </w:lvl>
    <w:lvl w:ilvl="5" w:tplc="A276F066">
      <w:start w:val="1"/>
      <w:numFmt w:val="lowerRoman"/>
      <w:lvlText w:val="%6."/>
      <w:lvlJc w:val="right"/>
      <w:pPr>
        <w:ind w:left="4320" w:hanging="180"/>
      </w:pPr>
    </w:lvl>
    <w:lvl w:ilvl="6" w:tplc="03AAEA7C">
      <w:start w:val="1"/>
      <w:numFmt w:val="decimal"/>
      <w:lvlText w:val="%7."/>
      <w:lvlJc w:val="left"/>
      <w:pPr>
        <w:ind w:left="5040" w:hanging="360"/>
      </w:pPr>
    </w:lvl>
    <w:lvl w:ilvl="7" w:tplc="179863CA">
      <w:start w:val="1"/>
      <w:numFmt w:val="lowerLetter"/>
      <w:lvlText w:val="%8."/>
      <w:lvlJc w:val="left"/>
      <w:pPr>
        <w:ind w:left="5760" w:hanging="360"/>
      </w:pPr>
    </w:lvl>
    <w:lvl w:ilvl="8" w:tplc="B0AA0F5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81600"/>
    <w:multiLevelType w:val="hybridMultilevel"/>
    <w:tmpl w:val="495E2CB0"/>
    <w:lvl w:ilvl="0" w:tplc="B204BA52">
      <w:start w:val="1"/>
      <w:numFmt w:val="decimal"/>
      <w:lvlText w:val="%1."/>
      <w:lvlJc w:val="left"/>
      <w:pPr>
        <w:ind w:left="928" w:hanging="360"/>
      </w:pPr>
    </w:lvl>
    <w:lvl w:ilvl="1" w:tplc="743ED66C">
      <w:start w:val="1"/>
      <w:numFmt w:val="lowerLetter"/>
      <w:lvlText w:val="%2."/>
      <w:lvlJc w:val="left"/>
      <w:pPr>
        <w:ind w:left="1648" w:hanging="360"/>
      </w:pPr>
    </w:lvl>
    <w:lvl w:ilvl="2" w:tplc="8806EC1E">
      <w:start w:val="1"/>
      <w:numFmt w:val="lowerRoman"/>
      <w:lvlText w:val="%3."/>
      <w:lvlJc w:val="right"/>
      <w:pPr>
        <w:ind w:left="2368" w:hanging="180"/>
      </w:pPr>
    </w:lvl>
    <w:lvl w:ilvl="3" w:tplc="F92810E8">
      <w:start w:val="1"/>
      <w:numFmt w:val="decimal"/>
      <w:lvlText w:val="%4."/>
      <w:lvlJc w:val="left"/>
      <w:pPr>
        <w:ind w:left="3088" w:hanging="360"/>
      </w:pPr>
    </w:lvl>
    <w:lvl w:ilvl="4" w:tplc="DF00BCD6">
      <w:start w:val="1"/>
      <w:numFmt w:val="lowerLetter"/>
      <w:lvlText w:val="%5."/>
      <w:lvlJc w:val="left"/>
      <w:pPr>
        <w:ind w:left="3808" w:hanging="360"/>
      </w:pPr>
    </w:lvl>
    <w:lvl w:ilvl="5" w:tplc="CD34D732">
      <w:start w:val="1"/>
      <w:numFmt w:val="lowerRoman"/>
      <w:lvlText w:val="%6."/>
      <w:lvlJc w:val="right"/>
      <w:pPr>
        <w:ind w:left="4528" w:hanging="180"/>
      </w:pPr>
    </w:lvl>
    <w:lvl w:ilvl="6" w:tplc="562C3880">
      <w:start w:val="1"/>
      <w:numFmt w:val="decimal"/>
      <w:lvlText w:val="%7."/>
      <w:lvlJc w:val="left"/>
      <w:pPr>
        <w:ind w:left="5248" w:hanging="360"/>
      </w:pPr>
    </w:lvl>
    <w:lvl w:ilvl="7" w:tplc="D982F3F6">
      <w:start w:val="1"/>
      <w:numFmt w:val="lowerLetter"/>
      <w:lvlText w:val="%8."/>
      <w:lvlJc w:val="left"/>
      <w:pPr>
        <w:ind w:left="5968" w:hanging="360"/>
      </w:pPr>
    </w:lvl>
    <w:lvl w:ilvl="8" w:tplc="C12E7DA4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284D46D2"/>
    <w:multiLevelType w:val="hybridMultilevel"/>
    <w:tmpl w:val="745A037E"/>
    <w:lvl w:ilvl="0" w:tplc="7BA03C98">
      <w:start w:val="3"/>
      <w:numFmt w:val="decimal"/>
      <w:lvlText w:val="%1."/>
      <w:lvlJc w:val="left"/>
      <w:pPr>
        <w:ind w:left="1069" w:hanging="360"/>
      </w:pPr>
    </w:lvl>
    <w:lvl w:ilvl="1" w:tplc="FFBECD82">
      <w:start w:val="1"/>
      <w:numFmt w:val="lowerLetter"/>
      <w:lvlText w:val="%2."/>
      <w:lvlJc w:val="left"/>
      <w:pPr>
        <w:ind w:left="1789" w:hanging="360"/>
      </w:pPr>
    </w:lvl>
    <w:lvl w:ilvl="2" w:tplc="8E5A9CB2">
      <w:start w:val="1"/>
      <w:numFmt w:val="lowerRoman"/>
      <w:lvlText w:val="%3."/>
      <w:lvlJc w:val="right"/>
      <w:pPr>
        <w:ind w:left="2509" w:hanging="180"/>
      </w:pPr>
    </w:lvl>
    <w:lvl w:ilvl="3" w:tplc="F3103100">
      <w:start w:val="1"/>
      <w:numFmt w:val="decimal"/>
      <w:lvlText w:val="%4."/>
      <w:lvlJc w:val="left"/>
      <w:pPr>
        <w:ind w:left="3229" w:hanging="360"/>
      </w:pPr>
    </w:lvl>
    <w:lvl w:ilvl="4" w:tplc="3ED026AE">
      <w:start w:val="1"/>
      <w:numFmt w:val="lowerLetter"/>
      <w:lvlText w:val="%5."/>
      <w:lvlJc w:val="left"/>
      <w:pPr>
        <w:ind w:left="3949" w:hanging="360"/>
      </w:pPr>
    </w:lvl>
    <w:lvl w:ilvl="5" w:tplc="370062B8">
      <w:start w:val="1"/>
      <w:numFmt w:val="lowerRoman"/>
      <w:lvlText w:val="%6."/>
      <w:lvlJc w:val="right"/>
      <w:pPr>
        <w:ind w:left="4669" w:hanging="180"/>
      </w:pPr>
    </w:lvl>
    <w:lvl w:ilvl="6" w:tplc="91B680A2">
      <w:start w:val="1"/>
      <w:numFmt w:val="decimal"/>
      <w:lvlText w:val="%7."/>
      <w:lvlJc w:val="left"/>
      <w:pPr>
        <w:ind w:left="5389" w:hanging="360"/>
      </w:pPr>
    </w:lvl>
    <w:lvl w:ilvl="7" w:tplc="63A08864">
      <w:start w:val="1"/>
      <w:numFmt w:val="lowerLetter"/>
      <w:lvlText w:val="%8."/>
      <w:lvlJc w:val="left"/>
      <w:pPr>
        <w:ind w:left="6109" w:hanging="360"/>
      </w:pPr>
    </w:lvl>
    <w:lvl w:ilvl="8" w:tplc="CC08DEA0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E583F03"/>
    <w:multiLevelType w:val="hybridMultilevel"/>
    <w:tmpl w:val="4A76E010"/>
    <w:lvl w:ilvl="0" w:tplc="8424C126">
      <w:start w:val="1"/>
      <w:numFmt w:val="decimal"/>
      <w:lvlText w:val="%1."/>
      <w:lvlJc w:val="left"/>
      <w:pPr>
        <w:ind w:left="1068" w:hanging="360"/>
      </w:pPr>
    </w:lvl>
    <w:lvl w:ilvl="1" w:tplc="4C8E6916">
      <w:start w:val="1"/>
      <w:numFmt w:val="lowerLetter"/>
      <w:lvlText w:val="%2."/>
      <w:lvlJc w:val="left"/>
      <w:pPr>
        <w:ind w:left="1788" w:hanging="360"/>
      </w:pPr>
    </w:lvl>
    <w:lvl w:ilvl="2" w:tplc="E8325142">
      <w:start w:val="1"/>
      <w:numFmt w:val="lowerRoman"/>
      <w:lvlText w:val="%3."/>
      <w:lvlJc w:val="right"/>
      <w:pPr>
        <w:ind w:left="2508" w:hanging="180"/>
      </w:pPr>
    </w:lvl>
    <w:lvl w:ilvl="3" w:tplc="C8D058C8">
      <w:start w:val="1"/>
      <w:numFmt w:val="decimal"/>
      <w:lvlText w:val="%4."/>
      <w:lvlJc w:val="left"/>
      <w:pPr>
        <w:ind w:left="3228" w:hanging="360"/>
      </w:pPr>
    </w:lvl>
    <w:lvl w:ilvl="4" w:tplc="64C6912E">
      <w:start w:val="1"/>
      <w:numFmt w:val="lowerLetter"/>
      <w:lvlText w:val="%5."/>
      <w:lvlJc w:val="left"/>
      <w:pPr>
        <w:ind w:left="3948" w:hanging="360"/>
      </w:pPr>
    </w:lvl>
    <w:lvl w:ilvl="5" w:tplc="09E87DCC">
      <w:start w:val="1"/>
      <w:numFmt w:val="lowerRoman"/>
      <w:lvlText w:val="%6."/>
      <w:lvlJc w:val="right"/>
      <w:pPr>
        <w:ind w:left="4668" w:hanging="180"/>
      </w:pPr>
    </w:lvl>
    <w:lvl w:ilvl="6" w:tplc="940C1614">
      <w:start w:val="1"/>
      <w:numFmt w:val="decimal"/>
      <w:lvlText w:val="%7."/>
      <w:lvlJc w:val="left"/>
      <w:pPr>
        <w:ind w:left="5388" w:hanging="360"/>
      </w:pPr>
    </w:lvl>
    <w:lvl w:ilvl="7" w:tplc="8078E26A">
      <w:start w:val="1"/>
      <w:numFmt w:val="lowerLetter"/>
      <w:lvlText w:val="%8."/>
      <w:lvlJc w:val="left"/>
      <w:pPr>
        <w:ind w:left="6108" w:hanging="360"/>
      </w:pPr>
    </w:lvl>
    <w:lvl w:ilvl="8" w:tplc="8C4A956E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3C871C1"/>
    <w:multiLevelType w:val="hybridMultilevel"/>
    <w:tmpl w:val="730C1C64"/>
    <w:lvl w:ilvl="0" w:tplc="779E7356">
      <w:start w:val="1"/>
      <w:numFmt w:val="decimal"/>
      <w:lvlText w:val="%1."/>
      <w:lvlJc w:val="left"/>
      <w:pPr>
        <w:ind w:left="1069" w:hanging="360"/>
      </w:pPr>
    </w:lvl>
    <w:lvl w:ilvl="1" w:tplc="3DF8E338">
      <w:start w:val="1"/>
      <w:numFmt w:val="lowerLetter"/>
      <w:lvlText w:val="%2."/>
      <w:lvlJc w:val="left"/>
      <w:pPr>
        <w:ind w:left="1789" w:hanging="360"/>
      </w:pPr>
    </w:lvl>
    <w:lvl w:ilvl="2" w:tplc="68807A1E">
      <w:start w:val="1"/>
      <w:numFmt w:val="lowerRoman"/>
      <w:lvlText w:val="%3."/>
      <w:lvlJc w:val="right"/>
      <w:pPr>
        <w:ind w:left="2509" w:hanging="180"/>
      </w:pPr>
    </w:lvl>
    <w:lvl w:ilvl="3" w:tplc="3EEAF5B8">
      <w:start w:val="1"/>
      <w:numFmt w:val="decimal"/>
      <w:lvlText w:val="%4."/>
      <w:lvlJc w:val="left"/>
      <w:pPr>
        <w:ind w:left="3229" w:hanging="360"/>
      </w:pPr>
    </w:lvl>
    <w:lvl w:ilvl="4" w:tplc="59D82EC6">
      <w:start w:val="1"/>
      <w:numFmt w:val="lowerLetter"/>
      <w:lvlText w:val="%5."/>
      <w:lvlJc w:val="left"/>
      <w:pPr>
        <w:ind w:left="3949" w:hanging="360"/>
      </w:pPr>
    </w:lvl>
    <w:lvl w:ilvl="5" w:tplc="D730E83A">
      <w:start w:val="1"/>
      <w:numFmt w:val="lowerRoman"/>
      <w:lvlText w:val="%6."/>
      <w:lvlJc w:val="right"/>
      <w:pPr>
        <w:ind w:left="4669" w:hanging="180"/>
      </w:pPr>
    </w:lvl>
    <w:lvl w:ilvl="6" w:tplc="7C345F7A">
      <w:start w:val="1"/>
      <w:numFmt w:val="decimal"/>
      <w:lvlText w:val="%7."/>
      <w:lvlJc w:val="left"/>
      <w:pPr>
        <w:ind w:left="5389" w:hanging="360"/>
      </w:pPr>
    </w:lvl>
    <w:lvl w:ilvl="7" w:tplc="36A4BC9A">
      <w:start w:val="1"/>
      <w:numFmt w:val="lowerLetter"/>
      <w:lvlText w:val="%8."/>
      <w:lvlJc w:val="left"/>
      <w:pPr>
        <w:ind w:left="6109" w:hanging="360"/>
      </w:pPr>
    </w:lvl>
    <w:lvl w:ilvl="8" w:tplc="1096BCF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8E1"/>
    <w:rsid w:val="003868E1"/>
    <w:rsid w:val="00C1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6814"/>
  <w15:docId w15:val="{AE987C73-A9D8-4523-8CDA-CB56991A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360" w:lineRule="auto"/>
      <w:outlineLvl w:val="0"/>
    </w:pPr>
    <w:rPr>
      <w:rFonts w:ascii="AG_CenturyOldStyle" w:eastAsia="Times New Roman" w:hAnsi="AG_CenturyOldStyle"/>
      <w:b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/>
      <w:b/>
      <w:sz w:val="32"/>
      <w:szCs w:val="20"/>
      <w:lang w:val="en-US"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/>
      <w:b/>
      <w:sz w:val="28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/>
      <w:b/>
      <w:sz w:val="44"/>
      <w:szCs w:val="20"/>
      <w:lang w:val="en-US"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AG_CenturyOldStyle" w:eastAsia="Times New Roman" w:hAnsi="AG_CenturyOldStyle"/>
      <w:b/>
      <w:sz w:val="28"/>
      <w:szCs w:val="20"/>
      <w:lang w:eastAsia="ru-RU"/>
    </w:rPr>
  </w:style>
  <w:style w:type="character" w:customStyle="1" w:styleId="50">
    <w:name w:val="Заголовок 5 Знак"/>
    <w:link w:val="5"/>
    <w:rPr>
      <w:rFonts w:ascii="AG_CenturyOldStyle" w:eastAsia="Times New Roman" w:hAnsi="AG_CenturyOldStyle"/>
      <w:b/>
      <w:sz w:val="32"/>
      <w:szCs w:val="20"/>
      <w:lang w:eastAsia="ru-RU"/>
    </w:rPr>
  </w:style>
  <w:style w:type="character" w:customStyle="1" w:styleId="60">
    <w:name w:val="Заголовок 6 Знак"/>
    <w:link w:val="6"/>
    <w:rPr>
      <w:rFonts w:ascii="AG_CenturyOldStyle" w:eastAsia="Times New Roman" w:hAnsi="AG_CenturyOldStyle"/>
      <w:b/>
      <w:sz w:val="28"/>
      <w:szCs w:val="20"/>
      <w:lang w:eastAsia="ru-RU"/>
    </w:rPr>
  </w:style>
  <w:style w:type="character" w:customStyle="1" w:styleId="70">
    <w:name w:val="Заголовок 7 Знак"/>
    <w:link w:val="7"/>
    <w:rPr>
      <w:rFonts w:ascii="AG_CenturyOldStyle" w:eastAsia="Times New Roman" w:hAnsi="AG_CenturyOldStyle"/>
      <w:b/>
      <w:sz w:val="44"/>
      <w:szCs w:val="20"/>
      <w:lang w:eastAsia="ru-RU"/>
    </w:rPr>
  </w:style>
  <w:style w:type="paragraph" w:styleId="25">
    <w:name w:val="Body Text 2"/>
    <w:basedOn w:val="a"/>
    <w:link w:val="26"/>
    <w:pPr>
      <w:spacing w:after="0" w:line="240" w:lineRule="auto"/>
      <w:ind w:left="360"/>
      <w:jc w:val="both"/>
    </w:pPr>
    <w:rPr>
      <w:rFonts w:eastAsia="Times New Roman"/>
      <w:sz w:val="26"/>
      <w:szCs w:val="20"/>
      <w:lang w:val="en-US" w:eastAsia="ru-RU"/>
    </w:rPr>
  </w:style>
  <w:style w:type="character" w:customStyle="1" w:styleId="26">
    <w:name w:val="Основной текст 2 Знак"/>
    <w:link w:val="25"/>
    <w:rPr>
      <w:rFonts w:eastAsia="Times New Roman"/>
      <w:sz w:val="26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f4">
    <w:name w:val="Текст сноски Знак"/>
    <w:link w:val="af3"/>
    <w:rPr>
      <w:rFonts w:eastAsia="Times New Roman"/>
      <w:lang w:eastAsia="en-US"/>
    </w:rPr>
  </w:style>
  <w:style w:type="paragraph" w:customStyle="1" w:styleId="ConsPlusTitle">
    <w:name w:val="ConsPlusTitle"/>
    <w:pPr>
      <w:widowControl w:val="0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1355</Words>
  <Characters>7724</Characters>
  <Application>Microsoft Office Word</Application>
  <DocSecurity>0</DocSecurity>
  <Lines>64</Lines>
  <Paragraphs>18</Paragraphs>
  <ScaleCrop>false</ScaleCrop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SOLYARIS</dc:creator>
  <cp:lastModifiedBy>Наталья Савкина</cp:lastModifiedBy>
  <cp:revision>143</cp:revision>
  <dcterms:created xsi:type="dcterms:W3CDTF">2026-02-20T03:18:00Z</dcterms:created>
  <dcterms:modified xsi:type="dcterms:W3CDTF">2026-10-02T06:38:00Z</dcterms:modified>
  <cp:version>983040</cp:version>
</cp:coreProperties>
</file>