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0" w:type="auto"/>
        <w:tblInd w:w="108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9356"/>
      </w:tblGrid>
      <w:tr>
        <w:tblPrEx/>
        <w:trPr>
          <w:trHeight w:val="2552"/>
        </w:trPr>
        <w:tc>
          <w:tcPr>
            <w:tcBorders>
              <w:bottom w:val="single" w:color="000000" w:sz="24" w:space="0"/>
            </w:tcBorders>
            <w:tcW w:w="9356" w:type="dxa"/>
            <w:vAlign w:val="top"/>
            <w:textDirection w:val="lrTb"/>
            <w:noWrap w:val="false"/>
          </w:tcPr>
          <w:p>
            <w:pPr>
              <w:pStyle w:val="644"/>
              <w:jc w:val="center"/>
              <w:keepNext/>
              <w:rPr>
                <w:b/>
                <w:sz w:val="32"/>
              </w:rPr>
              <w:outlineLvl w:val="0"/>
            </w:pPr>
            <w:r>
              <w:rPr>
                <w:rFonts w:cs="Arial Unicode MS"/>
                <w:b/>
                <w:sz w:val="28"/>
              </w:rPr>
              <w:t xml:space="preserve">Р о с с и й с к а я  Ф е д е р а ц и я</w:t>
            </w:r>
            <w:r>
              <w:rPr>
                <w:b/>
                <w:sz w:val="32"/>
              </w:rPr>
            </w:r>
            <w:r>
              <w:rPr>
                <w:b/>
                <w:sz w:val="32"/>
              </w:rPr>
            </w:r>
          </w:p>
          <w:p>
            <w:pPr>
              <w:pStyle w:val="644"/>
              <w:jc w:val="center"/>
              <w:keepNext/>
              <w:rPr>
                <w:b/>
                <w:sz w:val="32"/>
              </w:rPr>
              <w:outlineLvl w:val="4"/>
            </w:pPr>
            <w:r>
              <w:rPr>
                <w:b/>
                <w:sz w:val="32"/>
              </w:rPr>
              <w:t xml:space="preserve">Иркутская область</w:t>
            </w:r>
            <w:r>
              <w:rPr>
                <w:b/>
                <w:sz w:val="32"/>
              </w:rPr>
            </w:r>
          </w:p>
          <w:p>
            <w:pPr>
              <w:pStyle w:val="644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Тайшетский муниципальный округ Иркутской области</w:t>
            </w:r>
            <w:r>
              <w:rPr>
                <w:b/>
                <w:sz w:val="32"/>
              </w:rPr>
            </w:r>
          </w:p>
          <w:p>
            <w:pPr>
              <w:pStyle w:val="644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ДУМА ТАЙШЕТСКОГО МУНИЦИПАЛЬНОГО ОКРУГА ИРКУТСКОЙ ОБЛАСТИ</w:t>
            </w:r>
            <w:r>
              <w:rPr>
                <w:b/>
                <w:sz w:val="32"/>
              </w:rPr>
            </w:r>
          </w:p>
          <w:p>
            <w:pPr>
              <w:pStyle w:val="644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</w:r>
            <w:r>
              <w:rPr>
                <w:b/>
                <w:sz w:val="32"/>
              </w:rPr>
            </w:r>
          </w:p>
          <w:p>
            <w:pPr>
              <w:pStyle w:val="644"/>
              <w:jc w:val="center"/>
              <w:keepNext/>
              <w:outlineLvl w:val="6"/>
            </w:pPr>
            <w:r>
              <w:rPr>
                <w:b/>
                <w:sz w:val="44"/>
              </w:rPr>
              <w:t xml:space="preserve">РЕШЕНИЕ</w:t>
            </w:r>
            <w:r/>
          </w:p>
        </w:tc>
      </w:tr>
    </w:tbl>
    <w:p>
      <w:pPr>
        <w:pStyle w:val="644"/>
        <w:ind w:right="-568"/>
      </w:pPr>
      <w:r/>
      <w:r/>
    </w:p>
    <w:p>
      <w:pPr>
        <w:pStyle w:val="644"/>
        <w:jc w:val="both"/>
      </w:pPr>
      <w:r>
        <w:t xml:space="preserve">от «23</w:t>
      </w:r>
      <w:r>
        <w:t xml:space="preserve">» </w:t>
      </w:r>
      <w:r>
        <w:t xml:space="preserve">июля</w:t>
      </w:r>
      <w:r>
        <w:t xml:space="preserve"> 2026 года                    </w:t>
      </w:r>
      <w:r>
        <w:t xml:space="preserve">                         </w:t>
      </w:r>
      <w:r>
        <w:t xml:space="preserve">  </w:t>
        <w:tab/>
        <w:tab/>
        <w:t xml:space="preserve">                                   № 389</w:t>
      </w:r>
      <w:r/>
    </w:p>
    <w:p>
      <w:pPr>
        <w:pStyle w:val="644"/>
        <w:jc w:val="both"/>
      </w:pPr>
      <w:r/>
      <w:r/>
    </w:p>
    <w:p>
      <w:pPr>
        <w:pStyle w:val="644"/>
        <w:jc w:val="both"/>
        <w:spacing w:line="276" w:lineRule="auto"/>
      </w:pPr>
      <w:r>
        <w:t xml:space="preserve">О внесении изменений</w:t>
      </w:r>
      <w:r>
        <w:t xml:space="preserve"> в состав ликвидационной комиссии муниципального учреждения «Администрация Венгерского муниципального образования», утвержденный решением Думы Венгерского муниципального образования от 13 сентября 2025 года № 101</w:t>
      </w:r>
      <w:r/>
    </w:p>
    <w:p>
      <w:pPr>
        <w:pStyle w:val="644"/>
        <w:jc w:val="both"/>
        <w:spacing w:line="276" w:lineRule="auto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</w:p>
    <w:p>
      <w:pPr>
        <w:pStyle w:val="644"/>
        <w:contextualSpacing/>
        <w:ind w:firstLine="567"/>
        <w:jc w:val="both"/>
        <w:spacing w:line="276" w:lineRule="auto"/>
        <w:widowControl w:val="off"/>
        <w:tabs>
          <w:tab w:val="left" w:pos="1134" w:leader="none"/>
        </w:tabs>
        <w:rPr>
          <w:lang w:eastAsia="en-US"/>
        </w:rPr>
      </w:pPr>
      <w:r>
        <w:rPr>
          <w:color w:val="000000"/>
        </w:rPr>
        <w:t xml:space="preserve">Руководствуясь статьями 61, 62, 63, 64 Гражданского кодекса Российской Федерации, фе</w:t>
      </w:r>
      <w:r>
        <w:rPr>
          <w:color w:val="000000"/>
        </w:rPr>
        <w:t xml:space="preserve">деральными законами от 20 марта 2025 года № 33-Ф3 «Об общих принципах организации местного самоуправления в единой системе публичной власти», от 8 августа 2001 года № 129-ФЗ «О государственной регистрации юридических лиц и индивидуальных предпринимателей»,</w:t>
      </w:r>
      <w:r>
        <w:t xml:space="preserve"> статьями 6, 21, 36 Устава Тайшетского муниципального округа Иркутской области,</w:t>
      </w:r>
      <w:r>
        <w:rPr>
          <w:color w:val="000000"/>
        </w:rPr>
        <w:t xml:space="preserve"> Дума</w:t>
      </w:r>
      <w:r>
        <w:rPr>
          <w:lang w:eastAsia="en-US"/>
        </w:rPr>
        <w:t xml:space="preserve"> Тайшетского муниципального округа Иркутской области</w:t>
      </w:r>
      <w:r>
        <w:rPr>
          <w:lang w:eastAsia="en-US"/>
        </w:rPr>
      </w:r>
    </w:p>
    <w:p>
      <w:pPr>
        <w:pStyle w:val="644"/>
        <w:contextualSpacing/>
        <w:ind w:firstLine="567"/>
        <w:jc w:val="both"/>
        <w:spacing w:line="276" w:lineRule="auto"/>
        <w:widowControl w:val="off"/>
        <w:rPr>
          <w:lang w:eastAsia="en-US"/>
        </w:rPr>
      </w:pPr>
      <w:r>
        <w:rPr>
          <w:lang w:eastAsia="en-US"/>
        </w:rPr>
      </w:r>
      <w:r>
        <w:rPr>
          <w:lang w:eastAsia="en-US"/>
        </w:rPr>
      </w:r>
    </w:p>
    <w:p>
      <w:pPr>
        <w:pStyle w:val="644"/>
        <w:contextualSpacing/>
        <w:spacing w:line="276" w:lineRule="auto"/>
        <w:widowControl w:val="off"/>
        <w:rPr>
          <w:b/>
        </w:rPr>
      </w:pPr>
      <w:r>
        <w:rPr>
          <w:b/>
        </w:rPr>
        <w:t xml:space="preserve">РЕШИЛА:</w:t>
      </w:r>
      <w:r>
        <w:rPr>
          <w:b/>
        </w:rPr>
      </w:r>
    </w:p>
    <w:p>
      <w:pPr>
        <w:pStyle w:val="644"/>
        <w:contextualSpacing/>
        <w:ind w:firstLine="567"/>
        <w:jc w:val="center"/>
        <w:spacing w:line="276" w:lineRule="auto"/>
        <w:widowControl w:val="off"/>
        <w:tabs>
          <w:tab w:val="left" w:pos="993" w:leader="none"/>
        </w:tabs>
        <w:rPr>
          <w:b/>
        </w:rPr>
      </w:pPr>
      <w:r>
        <w:rPr>
          <w:b/>
        </w:rPr>
      </w:r>
      <w:r>
        <w:rPr>
          <w:b/>
        </w:rPr>
      </w:r>
    </w:p>
    <w:p>
      <w:pPr>
        <w:pStyle w:val="644"/>
        <w:numPr>
          <w:ilvl w:val="0"/>
          <w:numId w:val="1"/>
        </w:numPr>
        <w:ind w:left="0" w:firstLine="567"/>
        <w:jc w:val="both"/>
        <w:spacing w:line="276" w:lineRule="auto"/>
        <w:widowControl w:val="off"/>
        <w:tabs>
          <w:tab w:val="left" w:pos="993" w:leader="none"/>
          <w:tab w:val="left" w:pos="1134" w:leader="none"/>
        </w:tabs>
      </w:pPr>
      <w:r>
        <w:t xml:space="preserve">Внести изменения в состав ликвидационной комиссии муниципального учреждения «Администрация Венгерского муниципального образования», утвержденный решением Думы Венгерского муниципального образования от 13 сентября 2025 года № 101</w:t>
      </w:r>
      <w:r>
        <w:t xml:space="preserve"> (в редакции решений Думы Тайшетского муниципального округа Иркутской области от 19 декабря 2025 года № 119, от 29 мая 2026 года № 321)</w:t>
      </w:r>
      <w:r>
        <w:t xml:space="preserve">, изложив его в редакции согласно приложению к настоящему решению.</w:t>
      </w:r>
      <w:r/>
    </w:p>
    <w:p>
      <w:pPr>
        <w:pStyle w:val="644"/>
        <w:numPr>
          <w:ilvl w:val="0"/>
          <w:numId w:val="1"/>
        </w:numPr>
        <w:ind w:left="0" w:firstLine="567"/>
        <w:jc w:val="both"/>
        <w:spacing w:line="276" w:lineRule="auto"/>
        <w:tabs>
          <w:tab w:val="left" w:pos="993" w:leader="none"/>
        </w:tabs>
      </w:pPr>
      <w:r>
        <w:t xml:space="preserve">Председателю ликвидационной комиссии муниципального учреждения «Администрация Венгерского муниципального образования» </w:t>
      </w:r>
      <w:r>
        <w:t xml:space="preserve">Чигодаевой Г.А.</w:t>
      </w:r>
      <w:r>
        <w:t xml:space="preserve"> обеспечить государственную регистрацию внесенных изменений.</w:t>
      </w:r>
      <w:r/>
    </w:p>
    <w:p>
      <w:pPr>
        <w:pStyle w:val="644"/>
        <w:ind w:firstLine="567"/>
        <w:jc w:val="both"/>
        <w:spacing w:line="276" w:lineRule="auto"/>
        <w:widowControl w:val="off"/>
        <w:tabs>
          <w:tab w:val="left" w:pos="993" w:leader="none"/>
          <w:tab w:val="left" w:pos="1134" w:leader="none"/>
        </w:tabs>
      </w:pPr>
      <w:r>
        <w:t xml:space="preserve">3</w:t>
      </w:r>
      <w:r>
        <w:t xml:space="preserve">. </w:t>
      </w:r>
      <w:r>
        <w:rPr>
          <w:color w:val="000000"/>
        </w:rPr>
        <w:t xml:space="preserve">Настоящее решение вступает в силу со дня его принятия.</w:t>
      </w:r>
      <w:r/>
    </w:p>
    <w:p>
      <w:pPr>
        <w:pStyle w:val="682"/>
        <w:ind w:left="0" w:firstLine="567"/>
        <w:jc w:val="both"/>
        <w:spacing w:after="0" w:line="276" w:lineRule="auto"/>
        <w:tabs>
          <w:tab w:val="left" w:pos="993" w:leader="none"/>
          <w:tab w:val="left" w:pos="1134" w:leader="none"/>
        </w:tabs>
        <w:rPr>
          <w:rFonts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</w:t>
      </w:r>
      <w:r>
        <w:rPr>
          <w:rFonts w:ascii="Times New Roman" w:hAnsi="Times New Roman" w:cs="Times New Roman"/>
          <w:sz w:val="24"/>
          <w:szCs w:val="24"/>
        </w:rPr>
        <w:t xml:space="preserve">. Опубликовать настоящее </w:t>
      </w:r>
      <w:r>
        <w:rPr>
          <w:rFonts w:ascii="Times New Roman" w:hAnsi="Times New Roman" w:cs="Times New Roman"/>
          <w:sz w:val="24"/>
          <w:szCs w:val="24"/>
        </w:rPr>
        <w:t xml:space="preserve">решение в Бюллетене н</w:t>
      </w:r>
      <w:r>
        <w:rPr>
          <w:rFonts w:ascii="Times New Roman" w:hAnsi="Times New Roman" w:cs="Times New Roman"/>
          <w:sz w:val="24"/>
          <w:szCs w:val="24"/>
        </w:rPr>
        <w:t xml:space="preserve">ормативных правовых актов Тайшетского муниципального округа «Официальная среда», разместить на официальном сайте Администрации Тайшетского муниципального округа и в сетевом издании «Портал правовой информации Администрации Тайшетского муниципального округа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» (</w:t>
      </w:r>
      <w:r>
        <w:fldChar w:fldCharType="begin"/>
      </w:r>
      <w:r>
        <w:instrText xml:space="preserve"> HYPERLINK "https://npa-tr.ru/"</w:instrText>
      </w:r>
      <w:r>
        <w:fldChar w:fldCharType="separate"/>
      </w:r>
      <w:r>
        <w:rPr>
          <w:rStyle w:val="655"/>
          <w:rFonts w:ascii="Times New Roman" w:hAnsi="Times New Roman" w:cs="Times New Roman"/>
          <w:color w:val="000000"/>
          <w:sz w:val="24"/>
          <w:szCs w:val="24"/>
        </w:rPr>
        <w:t xml:space="preserve">https://npa-tr.ru</w:t>
      </w:r>
      <w:r>
        <w:fldChar w:fldCharType="end"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).</w:t>
      </w:r>
      <w:r>
        <w:rPr>
          <w:rFonts w:cs="Times New Roman"/>
          <w:sz w:val="24"/>
          <w:szCs w:val="24"/>
        </w:rPr>
      </w:r>
      <w:r>
        <w:rPr>
          <w:rFonts w:cs="Times New Roman"/>
          <w:sz w:val="24"/>
          <w:szCs w:val="24"/>
        </w:rPr>
      </w:r>
    </w:p>
    <w:p>
      <w:pPr>
        <w:pStyle w:val="644"/>
        <w:contextualSpacing/>
        <w:jc w:val="both"/>
        <w:widowControl w:val="off"/>
        <w:tabs>
          <w:tab w:val="left" w:pos="993" w:leader="none"/>
        </w:tabs>
      </w:pPr>
      <w:r/>
      <w:r/>
    </w:p>
    <w:p>
      <w:pPr>
        <w:pStyle w:val="644"/>
        <w:jc w:val="both"/>
      </w:pPr>
      <w:r>
        <w:t xml:space="preserve">Председатель Думы</w:t>
      </w:r>
      <w:r/>
    </w:p>
    <w:p>
      <w:pPr>
        <w:pStyle w:val="644"/>
      </w:pPr>
      <w:r>
        <w:t xml:space="preserve">Тайшетского муниципального округа                                                                   И.В. Ронжина</w:t>
      </w:r>
      <w:r/>
    </w:p>
    <w:p>
      <w:pPr>
        <w:pStyle w:val="644"/>
        <w:jc w:val="both"/>
      </w:pPr>
      <w:r/>
      <w:r/>
    </w:p>
    <w:p>
      <w:pPr>
        <w:pStyle w:val="644"/>
        <w:jc w:val="both"/>
      </w:pPr>
      <w:r/>
      <w:r/>
    </w:p>
    <w:p>
      <w:pPr>
        <w:pStyle w:val="644"/>
        <w:jc w:val="both"/>
      </w:pPr>
      <w:r>
        <w:t xml:space="preserve">Мэр Тайшетского муниципального округа                                                               А.С. Кузин</w:t>
      </w:r>
      <w:r/>
    </w:p>
    <w:p>
      <w:pPr>
        <w:pStyle w:val="644"/>
        <w:jc w:val="both"/>
        <w:tabs>
          <w:tab w:val="left" w:pos="7797" w:leader="none"/>
        </w:tabs>
      </w:pPr>
      <w:r/>
      <w:r/>
    </w:p>
    <w:p>
      <w:pPr>
        <w:pStyle w:val="644"/>
        <w:jc w:val="right"/>
        <w:tabs>
          <w:tab w:val="left" w:pos="7797" w:leader="none"/>
        </w:tabs>
      </w:pPr>
      <w:r>
        <w:t xml:space="preserve">УТВЕРЖДЕН</w:t>
      </w:r>
      <w:r/>
    </w:p>
    <w:p>
      <w:pPr>
        <w:pStyle w:val="644"/>
        <w:jc w:val="right"/>
        <w:tabs>
          <w:tab w:val="left" w:pos="7797" w:leader="none"/>
        </w:tabs>
      </w:pPr>
      <w:r>
        <w:t xml:space="preserve">решением Думы Тайшетского</w:t>
      </w:r>
      <w:r/>
    </w:p>
    <w:p>
      <w:pPr>
        <w:pStyle w:val="644"/>
        <w:jc w:val="right"/>
        <w:tabs>
          <w:tab w:val="left" w:pos="7797" w:leader="none"/>
        </w:tabs>
      </w:pPr>
      <w:r>
        <w:t xml:space="preserve"> муниципального округа Иркутской области</w:t>
      </w:r>
      <w:r/>
    </w:p>
    <w:p>
      <w:pPr>
        <w:pStyle w:val="644"/>
        <w:tabs>
          <w:tab w:val="left" w:pos="7797" w:leader="none"/>
        </w:tabs>
        <w:rPr>
          <w:bCs/>
        </w:rPr>
      </w:pPr>
      <w:r>
        <w:t xml:space="preserve">                                                                                                     </w:t>
      </w:r>
      <w:r>
        <w:t xml:space="preserve">от «23</w:t>
      </w:r>
      <w:r>
        <w:t xml:space="preserve">» </w:t>
      </w:r>
      <w:r>
        <w:t xml:space="preserve">июля</w:t>
      </w:r>
      <w:r>
        <w:t xml:space="preserve"> 2026 года № 389</w:t>
      </w:r>
      <w:r>
        <w:t xml:space="preserve"> </w:t>
      </w:r>
      <w:r>
        <w:rPr>
          <w:bCs/>
        </w:rPr>
      </w:r>
      <w:r>
        <w:rPr>
          <w:bCs/>
        </w:rPr>
      </w:r>
    </w:p>
    <w:p>
      <w:pPr>
        <w:pStyle w:val="644"/>
        <w:jc w:val="both"/>
        <w:tabs>
          <w:tab w:val="left" w:pos="7797" w:leader="none"/>
        </w:tabs>
        <w:rPr>
          <w:bCs/>
        </w:rPr>
      </w:pPr>
      <w:r>
        <w:rPr>
          <w:bCs/>
        </w:rPr>
      </w:r>
      <w:r>
        <w:rPr>
          <w:bCs/>
        </w:rPr>
      </w:r>
    </w:p>
    <w:p>
      <w:pPr>
        <w:pStyle w:val="644"/>
        <w:jc w:val="both"/>
        <w:tabs>
          <w:tab w:val="left" w:pos="7797" w:leader="none"/>
        </w:tabs>
        <w:rPr>
          <w:bCs/>
        </w:rPr>
      </w:pPr>
      <w:r>
        <w:rPr>
          <w:bCs/>
        </w:rPr>
      </w:r>
      <w:r>
        <w:rPr>
          <w:bCs/>
        </w:rPr>
      </w:r>
    </w:p>
    <w:p>
      <w:pPr>
        <w:pStyle w:val="644"/>
        <w:jc w:val="center"/>
        <w:tabs>
          <w:tab w:val="left" w:pos="7797" w:leader="none"/>
        </w:tabs>
      </w:pPr>
      <w:r>
        <w:rPr>
          <w:b/>
          <w:bCs/>
        </w:rPr>
        <w:t xml:space="preserve">СОСТАВ</w:t>
      </w:r>
      <w:r/>
    </w:p>
    <w:p>
      <w:pPr>
        <w:pStyle w:val="644"/>
        <w:jc w:val="center"/>
        <w:tabs>
          <w:tab w:val="left" w:pos="7797" w:leader="none"/>
        </w:tabs>
      </w:pPr>
      <w:r>
        <w:t xml:space="preserve">ликвидационной комиссии муниципального учреждения</w:t>
      </w:r>
      <w:r/>
    </w:p>
    <w:p>
      <w:pPr>
        <w:pStyle w:val="644"/>
        <w:jc w:val="center"/>
        <w:tabs>
          <w:tab w:val="left" w:pos="7797" w:leader="none"/>
        </w:tabs>
        <w:rPr>
          <w:b/>
        </w:rPr>
      </w:pPr>
      <w:r>
        <w:t xml:space="preserve"> «Администрация Венгерского муниципального образования»</w:t>
      </w:r>
      <w:r>
        <w:rPr>
          <w:b/>
        </w:rPr>
      </w:r>
      <w:r>
        <w:rPr>
          <w:b/>
        </w:rPr>
      </w:r>
    </w:p>
    <w:p>
      <w:pPr>
        <w:pStyle w:val="644"/>
        <w:jc w:val="both"/>
        <w:tabs>
          <w:tab w:val="left" w:pos="7797" w:leader="none"/>
        </w:tabs>
        <w:rPr>
          <w:b/>
        </w:rPr>
      </w:pPr>
      <w:r>
        <w:rPr>
          <w:b/>
        </w:rPr>
      </w:r>
      <w:r>
        <w:rPr>
          <w:b/>
        </w:rPr>
      </w:r>
    </w:p>
    <w:p>
      <w:pPr>
        <w:pStyle w:val="644"/>
        <w:jc w:val="both"/>
        <w:tabs>
          <w:tab w:val="left" w:pos="7797" w:leader="none"/>
        </w:tabs>
        <w:rPr>
          <w:bCs/>
        </w:rPr>
      </w:pPr>
      <w:r>
        <w:rPr>
          <w:bCs/>
        </w:rPr>
        <w:t xml:space="preserve">Чигодаева Галина Александровна </w:t>
      </w:r>
      <w:r>
        <w:rPr>
          <w:bCs/>
        </w:rPr>
        <w:t xml:space="preserve">- председатель ликвидационной комиссии;</w:t>
      </w:r>
      <w:r>
        <w:rPr>
          <w:bCs/>
        </w:rPr>
      </w:r>
    </w:p>
    <w:p>
      <w:pPr>
        <w:pStyle w:val="644"/>
        <w:jc w:val="both"/>
        <w:tabs>
          <w:tab w:val="left" w:pos="7797" w:leader="none"/>
        </w:tabs>
        <w:rPr>
          <w:bCs/>
        </w:rPr>
      </w:pPr>
      <w:r>
        <w:rPr>
          <w:bCs/>
        </w:rPr>
      </w:r>
      <w:r>
        <w:rPr>
          <w:bCs/>
        </w:rPr>
      </w:r>
    </w:p>
    <w:p>
      <w:pPr>
        <w:pStyle w:val="644"/>
        <w:jc w:val="both"/>
        <w:tabs>
          <w:tab w:val="left" w:pos="7797" w:leader="none"/>
        </w:tabs>
        <w:rPr>
          <w:bCs/>
        </w:rPr>
      </w:pPr>
      <w:r>
        <w:rPr>
          <w:bCs/>
        </w:rPr>
        <w:t xml:space="preserve">Лавренюк Екатерина Сергеевна - заместитель председателя ликвидационной комиссии;</w:t>
      </w:r>
      <w:r>
        <w:rPr>
          <w:bCs/>
        </w:rPr>
      </w:r>
    </w:p>
    <w:p>
      <w:pPr>
        <w:pStyle w:val="644"/>
        <w:jc w:val="both"/>
        <w:tabs>
          <w:tab w:val="left" w:pos="7797" w:leader="none"/>
        </w:tabs>
        <w:rPr>
          <w:bCs/>
        </w:rPr>
      </w:pPr>
      <w:r>
        <w:rPr>
          <w:bCs/>
        </w:rPr>
      </w:r>
      <w:r>
        <w:rPr>
          <w:bCs/>
        </w:rPr>
      </w:r>
    </w:p>
    <w:p>
      <w:pPr>
        <w:pStyle w:val="644"/>
        <w:jc w:val="both"/>
        <w:tabs>
          <w:tab w:val="left" w:pos="7797" w:leader="none"/>
        </w:tabs>
        <w:rPr>
          <w:bCs/>
        </w:rPr>
      </w:pPr>
      <w:r>
        <w:rPr>
          <w:bCs/>
        </w:rPr>
        <w:t xml:space="preserve">Снигирева Елена Владимировна – секретарь ликвидационной комиссии.</w:t>
      </w:r>
      <w:r>
        <w:rPr>
          <w:bCs/>
        </w:rPr>
      </w:r>
    </w:p>
    <w:p>
      <w:pPr>
        <w:pStyle w:val="644"/>
        <w:jc w:val="both"/>
        <w:tabs>
          <w:tab w:val="left" w:pos="7797" w:leader="none"/>
        </w:tabs>
        <w:rPr>
          <w:bCs/>
        </w:rPr>
      </w:pPr>
      <w:r>
        <w:rPr>
          <w:bCs/>
        </w:rPr>
      </w:r>
      <w:r>
        <w:rPr>
          <w:bCs/>
        </w:rPr>
      </w:r>
    </w:p>
    <w:p>
      <w:pPr>
        <w:pStyle w:val="644"/>
        <w:jc w:val="both"/>
        <w:tabs>
          <w:tab w:val="left" w:pos="7797" w:leader="none"/>
        </w:tabs>
        <w:rPr>
          <w:bCs/>
        </w:rPr>
      </w:pPr>
      <w:r>
        <w:rPr>
          <w:bCs/>
        </w:rPr>
        <w:t xml:space="preserve">Казаринова Маргарита Анатольевна – член ликвидационной комиссии.</w:t>
      </w:r>
      <w:r>
        <w:rPr>
          <w:bCs/>
        </w:rPr>
      </w:r>
    </w:p>
    <w:p>
      <w:pPr>
        <w:pStyle w:val="644"/>
        <w:jc w:val="both"/>
        <w:tabs>
          <w:tab w:val="left" w:pos="7797" w:leader="none"/>
        </w:tabs>
        <w:rPr>
          <w:bCs/>
        </w:rPr>
      </w:pPr>
      <w:r>
        <w:rPr>
          <w:bCs/>
        </w:rPr>
      </w:r>
      <w:r>
        <w:rPr>
          <w:bCs/>
        </w:rPr>
      </w:r>
    </w:p>
    <w:p>
      <w:pPr>
        <w:pStyle w:val="644"/>
        <w:jc w:val="both"/>
        <w:tabs>
          <w:tab w:val="left" w:pos="7797" w:leader="none"/>
        </w:tabs>
        <w:rPr>
          <w:bCs/>
        </w:rPr>
      </w:pPr>
      <w:r>
        <w:rPr>
          <w:bCs/>
        </w:rPr>
      </w:r>
      <w:r>
        <w:rPr>
          <w:bCs/>
        </w:rPr>
      </w:r>
    </w:p>
    <w:p>
      <w:pPr>
        <w:pStyle w:val="644"/>
        <w:jc w:val="both"/>
        <w:tabs>
          <w:tab w:val="left" w:pos="7797" w:leader="none"/>
        </w:tabs>
        <w:rPr>
          <w:b/>
          <w:bCs/>
        </w:rPr>
      </w:pPr>
      <w:r>
        <w:rPr>
          <w:b/>
          <w:bCs/>
        </w:rPr>
      </w:r>
      <w:r>
        <w:rPr>
          <w:b/>
          <w:bCs/>
        </w:rPr>
      </w:r>
    </w:p>
    <w:p>
      <w:pPr>
        <w:pStyle w:val="644"/>
        <w:jc w:val="both"/>
        <w:tabs>
          <w:tab w:val="left" w:pos="7797" w:leader="none"/>
        </w:tabs>
      </w:pPr>
      <w:r>
        <w:t xml:space="preserve">Председатель Думы </w:t>
        <w:tab/>
      </w:r>
      <w:r/>
    </w:p>
    <w:p>
      <w:pPr>
        <w:pStyle w:val="644"/>
        <w:jc w:val="both"/>
        <w:tabs>
          <w:tab w:val="left" w:pos="7797" w:leader="none"/>
        </w:tabs>
      </w:pPr>
      <w:r>
        <w:t xml:space="preserve">Тайшетского муниципального округа                                                                   И.В. Ронжина</w:t>
      </w:r>
      <w:r/>
    </w:p>
    <w:p>
      <w:pPr>
        <w:pStyle w:val="644"/>
        <w:jc w:val="both"/>
        <w:tabs>
          <w:tab w:val="left" w:pos="7797" w:leader="none"/>
        </w:tabs>
      </w:pPr>
      <w:r/>
      <w:r/>
    </w:p>
    <w:p>
      <w:pPr>
        <w:pStyle w:val="644"/>
        <w:jc w:val="both"/>
        <w:tabs>
          <w:tab w:val="left" w:pos="7797" w:leader="none"/>
        </w:tabs>
      </w:pPr>
      <w:r/>
      <w:r/>
    </w:p>
    <w:p>
      <w:pPr>
        <w:pStyle w:val="644"/>
        <w:jc w:val="both"/>
        <w:tabs>
          <w:tab w:val="left" w:pos="7797" w:leader="none"/>
        </w:tabs>
      </w:pPr>
      <w:r/>
      <w:r/>
    </w:p>
    <w:p>
      <w:pPr>
        <w:pStyle w:val="644"/>
        <w:jc w:val="both"/>
      </w:pPr>
      <w:r>
        <w:t xml:space="preserve">Мэр Тайшетского муниципального округа                                                               А.С. Кузин</w:t>
      </w:r>
      <w:r/>
    </w:p>
    <w:p>
      <w:pPr>
        <w:pStyle w:val="644"/>
        <w:jc w:val="both"/>
        <w:tabs>
          <w:tab w:val="left" w:pos="7797" w:leader="none"/>
        </w:tabs>
      </w:pPr>
      <w:r/>
      <w:r/>
    </w:p>
    <w:p>
      <w:pPr>
        <w:pStyle w:val="644"/>
        <w:jc w:val="both"/>
        <w:tabs>
          <w:tab w:val="left" w:pos="7797" w:leader="none"/>
        </w:tabs>
      </w:pPr>
      <w:r/>
      <w:r/>
    </w:p>
    <w:p>
      <w:pPr>
        <w:pStyle w:val="644"/>
        <w:jc w:val="both"/>
        <w:tabs>
          <w:tab w:val="left" w:pos="7797" w:leader="none"/>
        </w:tabs>
      </w:pPr>
      <w:r/>
      <w:r/>
    </w:p>
    <w:p>
      <w:pPr>
        <w:pStyle w:val="644"/>
        <w:jc w:val="both"/>
        <w:tabs>
          <w:tab w:val="left" w:pos="7797" w:leader="none"/>
        </w:tabs>
      </w:pPr>
      <w:r/>
      <w:r/>
    </w:p>
    <w:p>
      <w:pPr>
        <w:pStyle w:val="644"/>
        <w:jc w:val="both"/>
        <w:tabs>
          <w:tab w:val="left" w:pos="7797" w:leader="none"/>
        </w:tabs>
      </w:pPr>
      <w:r/>
      <w:r/>
    </w:p>
    <w:p>
      <w:pPr>
        <w:pStyle w:val="644"/>
        <w:jc w:val="both"/>
        <w:tabs>
          <w:tab w:val="left" w:pos="7797" w:leader="none"/>
        </w:tabs>
      </w:pPr>
      <w:r/>
      <w:r/>
    </w:p>
    <w:p>
      <w:pPr>
        <w:pStyle w:val="644"/>
        <w:jc w:val="both"/>
        <w:tabs>
          <w:tab w:val="left" w:pos="7797" w:leader="none"/>
        </w:tabs>
      </w:pPr>
      <w:r/>
      <w:r/>
    </w:p>
    <w:p>
      <w:pPr>
        <w:pStyle w:val="644"/>
        <w:jc w:val="both"/>
        <w:tabs>
          <w:tab w:val="left" w:pos="7797" w:leader="none"/>
        </w:tabs>
      </w:pPr>
      <w:r/>
      <w:r/>
    </w:p>
    <w:p>
      <w:pPr>
        <w:pStyle w:val="644"/>
        <w:jc w:val="both"/>
        <w:tabs>
          <w:tab w:val="left" w:pos="7797" w:leader="none"/>
        </w:tabs>
      </w:pPr>
      <w:r/>
      <w:r/>
    </w:p>
    <w:p>
      <w:pPr>
        <w:pStyle w:val="644"/>
        <w:jc w:val="both"/>
        <w:tabs>
          <w:tab w:val="left" w:pos="7797" w:leader="none"/>
        </w:tabs>
      </w:pPr>
      <w:r/>
      <w:r/>
    </w:p>
    <w:p>
      <w:pPr>
        <w:pStyle w:val="644"/>
        <w:jc w:val="both"/>
        <w:tabs>
          <w:tab w:val="left" w:pos="7797" w:leader="none"/>
        </w:tabs>
      </w:pPr>
      <w:r/>
      <w:r/>
    </w:p>
    <w:p>
      <w:pPr>
        <w:pStyle w:val="644"/>
        <w:jc w:val="both"/>
        <w:tabs>
          <w:tab w:val="left" w:pos="7797" w:leader="none"/>
        </w:tabs>
      </w:pPr>
      <w:r/>
      <w:r/>
    </w:p>
    <w:p>
      <w:pPr>
        <w:pStyle w:val="644"/>
        <w:jc w:val="both"/>
        <w:tabs>
          <w:tab w:val="left" w:pos="7797" w:leader="none"/>
        </w:tabs>
      </w:pPr>
      <w:r/>
      <w:r/>
    </w:p>
    <w:p>
      <w:pPr>
        <w:pStyle w:val="644"/>
        <w:jc w:val="both"/>
        <w:tabs>
          <w:tab w:val="left" w:pos="7797" w:leader="none"/>
        </w:tabs>
      </w:pPr>
      <w:r/>
      <w:r/>
    </w:p>
    <w:p>
      <w:pPr>
        <w:pStyle w:val="644"/>
        <w:jc w:val="both"/>
        <w:tabs>
          <w:tab w:val="left" w:pos="7797" w:leader="none"/>
        </w:tabs>
      </w:pPr>
      <w:r/>
      <w:r/>
    </w:p>
    <w:p>
      <w:pPr>
        <w:pStyle w:val="644"/>
        <w:jc w:val="both"/>
        <w:tabs>
          <w:tab w:val="left" w:pos="7797" w:leader="none"/>
        </w:tabs>
      </w:pPr>
      <w:r/>
      <w:r/>
    </w:p>
    <w:p>
      <w:pPr>
        <w:pStyle w:val="644"/>
        <w:jc w:val="both"/>
        <w:tabs>
          <w:tab w:val="left" w:pos="7797" w:leader="none"/>
        </w:tabs>
      </w:pPr>
      <w:r/>
      <w:r/>
    </w:p>
    <w:p>
      <w:pPr>
        <w:pStyle w:val="644"/>
        <w:jc w:val="both"/>
        <w:tabs>
          <w:tab w:val="left" w:pos="7797" w:leader="none"/>
        </w:tabs>
      </w:pPr>
      <w:r/>
      <w:r/>
    </w:p>
    <w:p>
      <w:pPr>
        <w:pStyle w:val="644"/>
        <w:jc w:val="both"/>
        <w:tabs>
          <w:tab w:val="left" w:pos="7797" w:leader="none"/>
        </w:tabs>
      </w:pPr>
      <w:r/>
      <w:r/>
    </w:p>
    <w:p>
      <w:pPr>
        <w:pStyle w:val="644"/>
        <w:jc w:val="both"/>
        <w:tabs>
          <w:tab w:val="left" w:pos="7797" w:leader="none"/>
        </w:tabs>
      </w:pPr>
      <w:r/>
      <w:r/>
    </w:p>
    <w:sectPr>
      <w:footerReference w:type="default" r:id="rId9"/>
      <w:footerReference w:type="first" r:id="rId10"/>
      <w:footnotePr/>
      <w:endnotePr/>
      <w:type w:val="nextPage"/>
      <w:pgSz w:w="11906" w:h="16838" w:orient="portrait"/>
      <w:pgMar w:top="1134" w:right="851" w:bottom="851" w:left="1701" w:header="720" w:footer="709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Droid Sans">
    <w:panose1 w:val="020B0706030804020204"/>
  </w:font>
  <w:font w:name="Times New Roman">
    <w:panose1 w:val="02020603050405020304"/>
  </w:font>
  <w:font w:name="Calibri">
    <w:panose1 w:val="020F0502020204030204"/>
  </w:font>
  <w:font w:name="Courier New">
    <w:panose1 w:val="02070409020205020404"/>
  </w:font>
  <w:font w:name="Noto Sans Devanagari">
    <w:panose1 w:val="020B0502040504020204"/>
  </w:font>
  <w:font w:name="Tahoma">
    <w:panose1 w:val="020B0604030504040204"/>
  </w:font>
  <w:font w:name="Arial Unicode MS">
    <w:panose1 w:val="020B0604020202020204"/>
  </w:font>
  <w:font w:name="PT Astra Serif">
    <w:panose1 w:val="020A06030405050202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74"/>
      <w:jc w:val="right"/>
    </w:pPr>
    <w:r/>
    <w:r/>
  </w:p>
  <w:p>
    <w:pPr>
      <w:pStyle w:val="674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44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  <w:tabs>
          <w:tab w:val="num" w:pos="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44"/>
    <w:next w:val="644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44"/>
    <w:next w:val="644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44"/>
    <w:next w:val="644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44"/>
    <w:next w:val="644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44"/>
    <w:next w:val="644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44"/>
    <w:next w:val="644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44"/>
    <w:next w:val="644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44"/>
    <w:next w:val="644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44"/>
    <w:next w:val="644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44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44"/>
    <w:next w:val="644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44"/>
    <w:next w:val="644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44"/>
    <w:next w:val="644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44"/>
    <w:next w:val="644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44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44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644"/>
    <w:next w:val="644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11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3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44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44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44"/>
    <w:next w:val="644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44"/>
    <w:next w:val="644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44"/>
    <w:next w:val="644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44"/>
    <w:next w:val="644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44"/>
    <w:next w:val="644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44"/>
    <w:next w:val="644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44"/>
    <w:next w:val="644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44"/>
    <w:next w:val="644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44"/>
    <w:next w:val="644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44"/>
    <w:next w:val="644"/>
    <w:uiPriority w:val="99"/>
    <w:unhideWhenUsed/>
    <w:pPr>
      <w:spacing w:after="0" w:afterAutospacing="0"/>
    </w:pPr>
  </w:style>
  <w:style w:type="paragraph" w:styleId="644" w:default="1">
    <w:name w:val="Normal"/>
    <w:next w:val="644"/>
    <w:link w:val="644"/>
    <w:qFormat/>
    <w:rPr>
      <w:sz w:val="24"/>
      <w:szCs w:val="24"/>
      <w:lang w:val="ru-RU" w:eastAsia="zh-CN" w:bidi="ar-SA"/>
    </w:rPr>
  </w:style>
  <w:style w:type="character" w:styleId="645">
    <w:name w:val="Основной шрифт абзаца"/>
    <w:next w:val="645"/>
    <w:link w:val="644"/>
    <w:uiPriority w:val="1"/>
    <w:semiHidden/>
    <w:unhideWhenUsed/>
  </w:style>
  <w:style w:type="table" w:styleId="646">
    <w:name w:val="Обычная таблица"/>
    <w:next w:val="646"/>
    <w:link w:val="644"/>
    <w:uiPriority w:val="99"/>
    <w:semiHidden/>
    <w:unhideWhenUsed/>
    <w:tblPr/>
  </w:style>
  <w:style w:type="numbering" w:styleId="647">
    <w:name w:val="Нет списка"/>
    <w:next w:val="647"/>
    <w:link w:val="644"/>
    <w:uiPriority w:val="99"/>
    <w:semiHidden/>
    <w:unhideWhenUsed/>
  </w:style>
  <w:style w:type="character" w:styleId="648">
    <w:name w:val="WW8Num1z0"/>
    <w:next w:val="648"/>
    <w:link w:val="644"/>
  </w:style>
  <w:style w:type="character" w:styleId="649">
    <w:name w:val="WW8Num3z0"/>
    <w:next w:val="649"/>
    <w:link w:val="644"/>
  </w:style>
  <w:style w:type="character" w:styleId="650">
    <w:name w:val="Основной шрифт абзаца2"/>
    <w:next w:val="650"/>
    <w:link w:val="644"/>
  </w:style>
  <w:style w:type="character" w:styleId="651">
    <w:name w:val="WW8Num2z0"/>
    <w:next w:val="651"/>
    <w:link w:val="644"/>
  </w:style>
  <w:style w:type="character" w:styleId="652">
    <w:name w:val="WW8Num3z1"/>
    <w:next w:val="652"/>
    <w:link w:val="644"/>
    <w:rPr>
      <w:i w:val="0"/>
      <w:color w:val="000000"/>
    </w:rPr>
  </w:style>
  <w:style w:type="character" w:styleId="653">
    <w:name w:val="Основной шрифт абзаца1"/>
    <w:next w:val="653"/>
    <w:link w:val="644"/>
  </w:style>
  <w:style w:type="character" w:styleId="654">
    <w:name w:val="Символ сноски"/>
    <w:next w:val="654"/>
    <w:link w:val="644"/>
    <w:rPr>
      <w:vertAlign w:val="superscript"/>
    </w:rPr>
  </w:style>
  <w:style w:type="character" w:styleId="655">
    <w:name w:val="Гиперссылка"/>
    <w:next w:val="655"/>
    <w:link w:val="644"/>
    <w:rPr>
      <w:color w:val="0000ff"/>
      <w:u w:val="single"/>
    </w:rPr>
  </w:style>
  <w:style w:type="character" w:styleId="656">
    <w:name w:val="Строгий"/>
    <w:next w:val="656"/>
    <w:link w:val="644"/>
    <w:qFormat/>
    <w:rPr>
      <w:b/>
      <w:bCs/>
    </w:rPr>
  </w:style>
  <w:style w:type="character" w:styleId="657">
    <w:name w:val="Текст выноски Знак"/>
    <w:next w:val="657"/>
    <w:link w:val="644"/>
    <w:rPr>
      <w:rFonts w:ascii="Tahoma" w:hAnsi="Tahoma" w:cs="Tahoma"/>
      <w:sz w:val="16"/>
      <w:szCs w:val="16"/>
    </w:rPr>
  </w:style>
  <w:style w:type="character" w:styleId="658">
    <w:name w:val="Основной текст 2 Знак"/>
    <w:next w:val="658"/>
    <w:link w:val="644"/>
  </w:style>
  <w:style w:type="character" w:styleId="659">
    <w:name w:val="Верхний колонтитул Знак"/>
    <w:next w:val="659"/>
    <w:link w:val="644"/>
    <w:rPr>
      <w:sz w:val="24"/>
      <w:szCs w:val="24"/>
    </w:rPr>
  </w:style>
  <w:style w:type="character" w:styleId="660">
    <w:name w:val="Нижний колонтитул Знак"/>
    <w:next w:val="660"/>
    <w:link w:val="644"/>
    <w:rPr>
      <w:sz w:val="24"/>
      <w:szCs w:val="24"/>
    </w:rPr>
  </w:style>
  <w:style w:type="character" w:styleId="661">
    <w:name w:val="Основной текст_"/>
    <w:next w:val="661"/>
    <w:link w:val="644"/>
    <w:rPr>
      <w:spacing w:val="3"/>
      <w:shd w:val="clear" w:color="auto" w:fill="ffffff"/>
    </w:rPr>
  </w:style>
  <w:style w:type="paragraph" w:styleId="662">
    <w:name w:val="Заголовок"/>
    <w:basedOn w:val="644"/>
    <w:next w:val="663"/>
    <w:link w:val="644"/>
    <w:pPr>
      <w:keepNext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663">
    <w:name w:val="Основной текст"/>
    <w:basedOn w:val="644"/>
    <w:next w:val="663"/>
    <w:link w:val="644"/>
    <w:pPr>
      <w:spacing w:before="0" w:after="140" w:line="276" w:lineRule="auto"/>
    </w:pPr>
  </w:style>
  <w:style w:type="paragraph" w:styleId="664">
    <w:name w:val="Список"/>
    <w:basedOn w:val="663"/>
    <w:next w:val="664"/>
    <w:link w:val="644"/>
    <w:rPr>
      <w:rFonts w:ascii="PT Astra Serif" w:hAnsi="PT Astra Serif" w:cs="Noto Sans Devanagari"/>
    </w:rPr>
  </w:style>
  <w:style w:type="paragraph" w:styleId="665">
    <w:name w:val="Название объекта"/>
    <w:basedOn w:val="644"/>
    <w:next w:val="665"/>
    <w:link w:val="644"/>
    <w:qFormat/>
    <w:pPr>
      <w:spacing w:before="120" w:after="120"/>
      <w:suppressLineNumbers/>
    </w:pPr>
    <w:rPr>
      <w:rFonts w:ascii="PT Astra Serif" w:hAnsi="PT Astra Serif" w:cs="Noto Sans Devanagari"/>
      <w:i/>
      <w:iCs/>
      <w:sz w:val="24"/>
      <w:szCs w:val="24"/>
    </w:rPr>
  </w:style>
  <w:style w:type="paragraph" w:styleId="666">
    <w:name w:val="Указатель2"/>
    <w:basedOn w:val="644"/>
    <w:next w:val="666"/>
    <w:link w:val="644"/>
    <w:pPr>
      <w:suppressLineNumbers/>
    </w:pPr>
    <w:rPr>
      <w:rFonts w:ascii="PT Astra Serif" w:hAnsi="PT Astra Serif" w:cs="Noto Sans Devanagari"/>
    </w:rPr>
  </w:style>
  <w:style w:type="paragraph" w:styleId="667">
    <w:name w:val="Название объекта1"/>
    <w:basedOn w:val="644"/>
    <w:next w:val="667"/>
    <w:link w:val="644"/>
    <w:pPr>
      <w:spacing w:before="120" w:after="120"/>
      <w:suppressLineNumbers/>
    </w:pPr>
    <w:rPr>
      <w:rFonts w:ascii="PT Astra Serif" w:hAnsi="PT Astra Serif" w:cs="Noto Sans Devanagari"/>
      <w:i/>
      <w:iCs/>
      <w:sz w:val="24"/>
      <w:szCs w:val="24"/>
    </w:rPr>
  </w:style>
  <w:style w:type="paragraph" w:styleId="668">
    <w:name w:val="Указатель1"/>
    <w:basedOn w:val="644"/>
    <w:next w:val="668"/>
    <w:link w:val="644"/>
    <w:pPr>
      <w:suppressLineNumbers/>
    </w:pPr>
    <w:rPr>
      <w:rFonts w:ascii="PT Astra Serif" w:hAnsi="PT Astra Serif" w:cs="Noto Sans Devanagari"/>
    </w:rPr>
  </w:style>
  <w:style w:type="paragraph" w:styleId="669">
    <w:name w:val="caption1"/>
    <w:basedOn w:val="644"/>
    <w:next w:val="669"/>
    <w:link w:val="644"/>
    <w:pPr>
      <w:spacing w:before="120" w:after="120"/>
      <w:suppressLineNumbers/>
    </w:pPr>
    <w:rPr>
      <w:rFonts w:ascii="PT Astra Serif" w:hAnsi="PT Astra Serif" w:cs="Noto Sans Devanagari"/>
      <w:i/>
      <w:iCs/>
      <w:sz w:val="24"/>
      <w:szCs w:val="24"/>
    </w:rPr>
  </w:style>
  <w:style w:type="paragraph" w:styleId="670">
    <w:name w:val="Текст выноски"/>
    <w:basedOn w:val="644"/>
    <w:next w:val="670"/>
    <w:link w:val="644"/>
    <w:rPr>
      <w:rFonts w:ascii="Tahoma" w:hAnsi="Tahoma" w:cs="Tahoma"/>
      <w:sz w:val="16"/>
      <w:szCs w:val="16"/>
    </w:rPr>
  </w:style>
  <w:style w:type="paragraph" w:styleId="671">
    <w:name w:val="Основной текст 21"/>
    <w:basedOn w:val="644"/>
    <w:next w:val="671"/>
    <w:link w:val="644"/>
    <w:pPr>
      <w:spacing w:before="0" w:after="120" w:line="480" w:lineRule="auto"/>
    </w:pPr>
    <w:rPr>
      <w:sz w:val="20"/>
      <w:szCs w:val="20"/>
    </w:rPr>
  </w:style>
  <w:style w:type="paragraph" w:styleId="672">
    <w:name w:val="Header and Footer"/>
    <w:basedOn w:val="644"/>
    <w:next w:val="672"/>
    <w:link w:val="644"/>
    <w:pPr>
      <w:tabs>
        <w:tab w:val="center" w:pos="4819" w:leader="none"/>
        <w:tab w:val="right" w:pos="9638" w:leader="none"/>
      </w:tabs>
      <w:suppressLineNumbers/>
    </w:pPr>
  </w:style>
  <w:style w:type="paragraph" w:styleId="673">
    <w:name w:val="Верхний колонтитул"/>
    <w:basedOn w:val="644"/>
    <w:next w:val="673"/>
    <w:link w:val="644"/>
    <w:pPr>
      <w:tabs>
        <w:tab w:val="center" w:pos="4677" w:leader="none"/>
        <w:tab w:val="right" w:pos="9355" w:leader="none"/>
      </w:tabs>
    </w:pPr>
  </w:style>
  <w:style w:type="paragraph" w:styleId="674">
    <w:name w:val="Нижний колонтитул"/>
    <w:basedOn w:val="644"/>
    <w:next w:val="674"/>
    <w:link w:val="644"/>
    <w:pPr>
      <w:tabs>
        <w:tab w:val="center" w:pos="4677" w:leader="none"/>
        <w:tab w:val="right" w:pos="9355" w:leader="none"/>
      </w:tabs>
    </w:pPr>
  </w:style>
  <w:style w:type="paragraph" w:styleId="675">
    <w:name w:val="Обычный (веб)"/>
    <w:basedOn w:val="644"/>
    <w:next w:val="675"/>
    <w:link w:val="644"/>
    <w:pPr>
      <w:spacing w:before="100" w:after="100"/>
    </w:pPr>
  </w:style>
  <w:style w:type="paragraph" w:styleId="676">
    <w:name w:val="ConsNormal"/>
    <w:next w:val="676"/>
    <w:link w:val="644"/>
    <w:pPr>
      <w:ind w:firstLine="720"/>
    </w:pPr>
    <w:rPr>
      <w:rFonts w:ascii="Arial" w:hAnsi="Arial" w:cs="Arial"/>
      <w:lang w:val="ru-RU" w:eastAsia="zh-CN" w:bidi="ar-SA"/>
    </w:rPr>
  </w:style>
  <w:style w:type="paragraph" w:styleId="677">
    <w:name w:val="ConsNonformat"/>
    <w:next w:val="677"/>
    <w:link w:val="644"/>
    <w:pPr>
      <w:ind w:right="19772"/>
    </w:pPr>
    <w:rPr>
      <w:rFonts w:ascii="Courier New" w:hAnsi="Courier New" w:cs="Courier New"/>
      <w:lang w:val="ru-RU" w:eastAsia="zh-CN" w:bidi="ar-SA"/>
    </w:rPr>
  </w:style>
  <w:style w:type="paragraph" w:styleId="678">
    <w:name w:val="Абзац списка"/>
    <w:basedOn w:val="644"/>
    <w:next w:val="678"/>
    <w:link w:val="644"/>
    <w:qFormat/>
    <w:pPr>
      <w:contextualSpacing/>
      <w:ind w:left="720" w:right="0" w:firstLine="0"/>
      <w:spacing w:before="0" w:after="200" w:line="276" w:lineRule="auto"/>
    </w:pPr>
    <w:rPr>
      <w:rFonts w:ascii="Calibri" w:hAnsi="Calibri" w:eastAsia="Calibri" w:cs="Times New Roman"/>
      <w:sz w:val="22"/>
      <w:szCs w:val="22"/>
    </w:rPr>
  </w:style>
  <w:style w:type="paragraph" w:styleId="679">
    <w:name w:val="ConsPlusNormal"/>
    <w:next w:val="679"/>
    <w:link w:val="644"/>
    <w:pPr>
      <w:ind w:firstLine="720"/>
      <w:widowControl w:val="off"/>
    </w:pPr>
    <w:rPr>
      <w:rFonts w:ascii="Arial" w:hAnsi="Arial" w:cs="Arial"/>
      <w:lang w:val="ru-RU" w:eastAsia="zh-CN" w:bidi="ar-SA"/>
    </w:rPr>
  </w:style>
  <w:style w:type="paragraph" w:styleId="680">
    <w:name w:val="Основной текст2"/>
    <w:basedOn w:val="644"/>
    <w:next w:val="680"/>
    <w:link w:val="644"/>
    <w:pPr>
      <w:jc w:val="both"/>
      <w:spacing w:before="240" w:after="420" w:line="0" w:lineRule="atLeast"/>
      <w:shd w:val="clear" w:color="auto" w:fill="ffffff"/>
      <w:widowControl w:val="off"/>
    </w:pPr>
    <w:rPr>
      <w:spacing w:val="3"/>
      <w:sz w:val="20"/>
      <w:szCs w:val="20"/>
    </w:rPr>
  </w:style>
  <w:style w:type="paragraph" w:styleId="681">
    <w:name w:val="Без интервала"/>
    <w:next w:val="681"/>
    <w:link w:val="644"/>
    <w:qFormat/>
    <w:rPr>
      <w:sz w:val="24"/>
      <w:szCs w:val="24"/>
      <w:lang w:val="ru-RU" w:eastAsia="zh-CN" w:bidi="ar-SA"/>
    </w:rPr>
  </w:style>
  <w:style w:type="paragraph" w:styleId="682">
    <w:name w:val="Абзац списка1"/>
    <w:basedOn w:val="644"/>
    <w:next w:val="682"/>
    <w:link w:val="644"/>
    <w:pPr>
      <w:contextualSpacing/>
      <w:ind w:left="720" w:right="0" w:firstLine="0"/>
      <w:spacing w:before="0" w:after="160" w:line="252" w:lineRule="auto"/>
    </w:pPr>
    <w:rPr>
      <w:rFonts w:ascii="Droid Sans" w:hAnsi="Droid Sans" w:eastAsia="Droid Sans" w:cs="Arial"/>
      <w:sz w:val="22"/>
      <w:szCs w:val="22"/>
    </w:rPr>
  </w:style>
  <w:style w:type="paragraph" w:styleId="683">
    <w:name w:val="Основной текст1"/>
    <w:basedOn w:val="644"/>
    <w:next w:val="683"/>
    <w:link w:val="644"/>
    <w:pPr>
      <w:ind w:left="0" w:right="0" w:firstLine="400"/>
      <w:widowControl w:val="off"/>
    </w:pPr>
    <w:rPr>
      <w:sz w:val="22"/>
      <w:szCs w:val="22"/>
    </w:rPr>
  </w:style>
  <w:style w:type="paragraph" w:styleId="684">
    <w:name w:val="Содержимое таблицы"/>
    <w:basedOn w:val="644"/>
    <w:next w:val="684"/>
    <w:link w:val="644"/>
    <w:pPr>
      <w:widowControl w:val="off"/>
      <w:suppressLineNumbers/>
    </w:pPr>
  </w:style>
  <w:style w:type="paragraph" w:styleId="685">
    <w:name w:val="Заголовок таблицы"/>
    <w:basedOn w:val="684"/>
    <w:next w:val="685"/>
    <w:link w:val="644"/>
    <w:pPr>
      <w:jc w:val="center"/>
      <w:suppressLineNumbers/>
    </w:pPr>
    <w:rPr>
      <w:b/>
      <w:bCs/>
    </w:rPr>
  </w:style>
  <w:style w:type="character" w:styleId="1018" w:default="1">
    <w:name w:val="Default Paragraph Font"/>
    <w:uiPriority w:val="1"/>
    <w:semiHidden/>
    <w:unhideWhenUsed/>
  </w:style>
  <w:style w:type="numbering" w:styleId="1019" w:default="1">
    <w:name w:val="No List"/>
    <w:uiPriority w:val="99"/>
    <w:semiHidden/>
    <w:unhideWhenUsed/>
  </w:style>
  <w:style w:type="table" w:styleId="1020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footer" Target="footer2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Р7-Офис/2024.4.2.721</Application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Тюменцев В.Г.</dc:creator>
  <cp:lastModifiedBy>elizarova</cp:lastModifiedBy>
  <cp:revision>13</cp:revision>
  <dcterms:created xsi:type="dcterms:W3CDTF">2025-12-04T03:21:00Z</dcterms:created>
  <dcterms:modified xsi:type="dcterms:W3CDTF">2026-07-23T09:06:36Z</dcterms:modified>
  <cp:version>983040</cp:version>
</cp:coreProperties>
</file>