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2047"/>
        </w:sectPr>
        <w:pStyle w:val="Normal"/>
        <w:spacing w:lineRule="auto" w:line="276"/>
        <w:jc w:val="center"/>
        <w:rPr>
          <w:b/>
          <w:b/>
          <w:caps/>
          <w:spacing w:val="20"/>
          <w:sz w:val="24"/>
          <w:szCs w:val="24"/>
        </w:rPr>
      </w:pPr>
      <w:r>
        <w:rPr>
          <w:b/>
          <w:caps/>
          <w:spacing w:val="2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АДМИНИСТРАЦИЯ УСТЬ-ИЛИМСКОГО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КОМИТЕТ ПО УПРАВЛЕНИЮ МУНИЦИПАЛЬНЫМ ИМУЩЕСТВОМ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УСТЬ-ИЛИМСКОГО МУНИЦИПАЛЬНОГО ОКРУГА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>
      <w:pPr>
        <w:pStyle w:val="Normal"/>
        <w:jc w:val="center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1"/>
        <w:numPr>
          <w:ilvl w:val="0"/>
          <w:numId w:val="2"/>
        </w:numPr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РАСПОРЯЖЕНИЕ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/>
      </w:pPr>
      <w:r>
        <w:rPr>
          <w:rStyle w:val="Style15"/>
          <w:color w:val="000000"/>
          <w:sz w:val="24"/>
          <w:szCs w:val="24"/>
        </w:rPr>
        <w:t xml:space="preserve">20.01.2025      </w:t>
      </w:r>
      <w:r>
        <w:rPr>
          <w:rStyle w:val="Style15"/>
          <w:color w:val="000000"/>
        </w:rPr>
        <w:t xml:space="preserve">                                                                                                                                              </w:t>
      </w:r>
      <w:r>
        <w:rPr>
          <w:rStyle w:val="Style15"/>
          <w:color w:val="000000"/>
          <w:sz w:val="24"/>
          <w:szCs w:val="24"/>
        </w:rPr>
        <w:t xml:space="preserve"> № 25-рк</w:t>
      </w:r>
    </w:p>
    <w:p>
      <w:pPr>
        <w:pStyle w:val="Normal"/>
        <w:rPr>
          <w:rFonts w:ascii="Times New Roman" w:hAnsi="Times New Roman"/>
          <w:color w:val="C9211E"/>
        </w:rPr>
      </w:pPr>
      <w:r>
        <w:rPr>
          <w:color w:val="C9211E"/>
        </w:rPr>
      </w:r>
    </w:p>
    <w:p>
      <w:pPr>
        <w:pStyle w:val="Normal"/>
        <w:rPr>
          <w:rFonts w:ascii="Times New Roman" w:hAnsi="Times New Roman"/>
          <w:color w:val="C9211E"/>
        </w:rPr>
      </w:pPr>
      <w:r>
        <w:rPr>
          <w:color w:val="C9211E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г. Усть-Илимск</w:t>
      </w:r>
    </w:p>
    <w:p>
      <w:pPr>
        <w:pStyle w:val="ConsPlusTitle"/>
        <w:widowControl/>
        <w:rPr>
          <w:b w:val="false"/>
          <w:b w:val="false"/>
        </w:rPr>
      </w:pPr>
      <w:r>
        <w:rPr>
          <w:b w:val="false"/>
        </w:rPr>
      </w:r>
    </w:p>
    <w:p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руководства по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соблюдению обязательных требований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земельного законодательства, предъявляемых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мероприятий по осуществлению </w:t>
      </w:r>
    </w:p>
    <w:p>
      <w:pPr>
        <w:pStyle w:val="Normal"/>
        <w:rPr/>
      </w:pPr>
      <w:r>
        <w:rPr>
          <w:sz w:val="24"/>
          <w:szCs w:val="24"/>
        </w:rPr>
        <w:t xml:space="preserve">муниципального земельного контроля </w:t>
      </w:r>
      <w:r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eastAsia="en-US"/>
        </w:rPr>
        <w:t>Усть-Илимско</w:t>
      </w:r>
      <w:r>
        <w:rPr>
          <w:rFonts w:eastAsia="Calibri" w:eastAsiaTheme="minorHAnsi"/>
          <w:sz w:val="24"/>
          <w:szCs w:val="24"/>
          <w:lang w:eastAsia="en-US"/>
        </w:rPr>
        <w:t>го</w:t>
      </w:r>
      <w:r>
        <w:rPr>
          <w:rFonts w:eastAsia="Calibri" w:eastAsiaTheme="minorHAnsi"/>
          <w:sz w:val="24"/>
          <w:szCs w:val="24"/>
          <w:lang w:eastAsia="en-US"/>
        </w:rPr>
        <w:t xml:space="preserve"> муниципально</w:t>
      </w:r>
      <w:r>
        <w:rPr>
          <w:rFonts w:eastAsia="Calibri" w:eastAsiaTheme="minorHAnsi"/>
          <w:sz w:val="24"/>
          <w:szCs w:val="24"/>
          <w:lang w:eastAsia="en-US"/>
        </w:rPr>
        <w:t>го</w:t>
      </w:r>
      <w:r>
        <w:rPr>
          <w:rFonts w:eastAsia="Calibri" w:eastAsiaTheme="minorHAnsi"/>
          <w:sz w:val="24"/>
          <w:szCs w:val="24"/>
          <w:lang w:eastAsia="en-US"/>
        </w:rPr>
        <w:t xml:space="preserve"> округ</w:t>
      </w:r>
      <w:r>
        <w:rPr>
          <w:rFonts w:eastAsia="Calibri" w:eastAsiaTheme="minorHAnsi"/>
          <w:sz w:val="24"/>
          <w:szCs w:val="24"/>
          <w:lang w:eastAsia="en-US"/>
        </w:rPr>
        <w:t>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left" w:pos="993" w:leader="none"/>
        </w:tabs>
        <w:ind w:left="106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4"/>
          <w:szCs w:val="24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 w:eastAsiaTheme="minorHAns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 xml:space="preserve">решением Думы Усть-Илимского муниципального округа Иркутской области от 26.09.2024 № 1/32 «Об утверждении Положения о муниципальном земельном контроле на территории Усть-Илимского муниципального округа,  </w:t>
      </w:r>
      <w:r>
        <w:rPr>
          <w:sz w:val="24"/>
          <w:szCs w:val="24"/>
          <w:lang w:eastAsia="ar-SA"/>
        </w:rPr>
        <w:t>распоряжением</w:t>
      </w:r>
      <w:r>
        <w:rPr>
          <w:b/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Комитета по управлению муниципальным имуществом Усть-Илимского муниципального округа от 08.11.2024 № 16 «</w:t>
      </w:r>
      <w:r>
        <w:rPr>
          <w:sz w:val="24"/>
          <w:szCs w:val="24"/>
        </w:rPr>
        <w:t>Об утверждении программы «Профилактика рисков причинения вреда (ущерба) охраняемым законом ценностям по муниципальному земельному контролю в Усть-Илимском муниципальном округе на 2025 год»,</w:t>
      </w:r>
      <w:r>
        <w:rPr>
          <w:rFonts w:eastAsia="Calibri" w:eastAsiaTheme="minorHAnsi"/>
          <w:sz w:val="24"/>
          <w:szCs w:val="24"/>
          <w:lang w:eastAsia="en-US"/>
        </w:rPr>
        <w:t xml:space="preserve">  Положением  о Комитете по управлению муниципальным имуществом Усть-Илимского муниципального округа, утвержденного решением Думы Усть-Илимского муниципального округа от 03.10.2024 №2/7</w:t>
      </w:r>
      <w:r>
        <w:rPr>
          <w:sz w:val="24"/>
          <w:szCs w:val="24"/>
        </w:rPr>
        <w:t>,</w:t>
      </w:r>
    </w:p>
    <w:p>
      <w:pPr>
        <w:pStyle w:val="Normal"/>
        <w:tabs>
          <w:tab w:val="left" w:pos="993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uppressAutoHyphens w:val="true"/>
        <w:ind w:left="0" w:firstLine="708"/>
        <w:jc w:val="both"/>
        <w:rPr/>
      </w:pPr>
      <w:r>
        <w:rPr>
          <w:sz w:val="24"/>
          <w:szCs w:val="24"/>
          <w:lang w:eastAsia="fa-IR" w:bidi="fa-IR"/>
        </w:rPr>
        <w:t xml:space="preserve">Утвердить </w:t>
      </w:r>
      <w:r>
        <w:rPr>
          <w:sz w:val="24"/>
          <w:szCs w:val="24"/>
        </w:rPr>
        <w:t>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Усть-Илимского муниципального округа согласно приложению.</w:t>
      </w:r>
    </w:p>
    <w:p>
      <w:pPr>
        <w:pStyle w:val="ListParagraph"/>
        <w:numPr>
          <w:ilvl w:val="0"/>
          <w:numId w:val="3"/>
        </w:numPr>
        <w:suppressAutoHyphens w:val="true"/>
        <w:ind w:left="0" w:firstLine="708"/>
        <w:jc w:val="both"/>
        <w:rPr/>
      </w:pPr>
      <w:r>
        <w:rPr>
          <w:sz w:val="24"/>
          <w:szCs w:val="24"/>
        </w:rPr>
        <w:t xml:space="preserve">Настоящее распоряжение разместить на официальном сайте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Усть-Илимского муниципального округа в информационно-телекоммуникационной сети «Интернет».</w:t>
      </w:r>
    </w:p>
    <w:p>
      <w:pPr>
        <w:pStyle w:val="ListParagraph"/>
        <w:numPr>
          <w:ilvl w:val="0"/>
          <w:numId w:val="0"/>
        </w:numPr>
        <w:suppressAutoHyphens w:val="true"/>
        <w:ind w:left="1068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Cs/>
          <w:sz w:val="24"/>
          <w:szCs w:val="24"/>
        </w:rPr>
        <w:t xml:space="preserve">Председатель Комитета </w:t>
        <w:tab/>
        <w:t xml:space="preserve">   </w:t>
        <w:tab/>
        <w:tab/>
        <w:t xml:space="preserve">                                                          А.С. Бубелова</w:t>
        <w:tab/>
      </w:r>
    </w:p>
    <w:p>
      <w:pPr>
        <w:pStyle w:val="Normal"/>
        <w:jc w:val="both"/>
        <w:rPr>
          <w:sz w:val="18"/>
          <w:szCs w:val="18"/>
        </w:rPr>
      </w:pPr>
      <w:r>
        <w:rPr>
          <w:bCs/>
          <w:sz w:val="18"/>
          <w:szCs w:val="18"/>
        </w:rPr>
        <w:t>Исп. Ерофеева А.А.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Комитета по управлению</w:t>
      </w:r>
    </w:p>
    <w:p>
      <w:pPr>
        <w:pStyle w:val="Normal"/>
        <w:jc w:val="right"/>
        <w:rPr/>
      </w:pPr>
      <w:r>
        <w:rPr>
          <w:sz w:val="24"/>
          <w:szCs w:val="24"/>
        </w:rPr>
        <w:t xml:space="preserve">муниципальным имуществом  </w:t>
      </w:r>
    </w:p>
    <w:p>
      <w:pPr>
        <w:pStyle w:val="Normal"/>
        <w:jc w:val="right"/>
        <w:rPr/>
      </w:pPr>
      <w:r>
        <w:rPr>
          <w:sz w:val="24"/>
          <w:szCs w:val="24"/>
        </w:rPr>
        <w:t>Усть-Илимского муниципального округа</w:t>
      </w:r>
    </w:p>
    <w:p>
      <w:pPr>
        <w:pStyle w:val="Normal"/>
        <w:jc w:val="right"/>
        <w:rPr/>
      </w:pPr>
      <w:r>
        <w:rPr>
          <w:sz w:val="24"/>
          <w:szCs w:val="24"/>
        </w:rPr>
        <w:t>от 20.01.2025 № 25-рк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Руководство </w:t>
      </w:r>
    </w:p>
    <w:p>
      <w:pPr>
        <w:pStyle w:val="Normal"/>
        <w:spacing w:lineRule="auto" w:line="276"/>
        <w:jc w:val="center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Усть-Илимского муниципального округа</w:t>
      </w:r>
    </w:p>
    <w:p>
      <w:pPr>
        <w:pStyle w:val="Normal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</w:t>
      </w:r>
    </w:p>
    <w:p>
      <w:pPr>
        <w:pStyle w:val="Normal"/>
        <w:shd w:val="clear" w:color="auto" w:fill="FFFFFF"/>
        <w:ind w:firstLine="708"/>
        <w:jc w:val="both"/>
        <w:rPr/>
      </w:pPr>
      <w:r>
        <w:rPr>
          <w:sz w:val="24"/>
          <w:szCs w:val="24"/>
        </w:rPr>
        <w:t>Объектами муниципального земельного контроля являются земли, расположенные на территории Усть-Илимского муниципального округа, земельные участки и их части независимо от прав на них.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Обязанности правообладателей земельных участков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42 Земельного кодекса собственники земельных участков и лица, не являющиеся собственниками земельных участков, обязаны: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 производить платежи за землю;</w:t>
      </w:r>
    </w:p>
    <w:p>
      <w:pPr>
        <w:pStyle w:val="Normal"/>
        <w:ind w:firstLine="720"/>
        <w:jc w:val="both"/>
        <w:rPr/>
      </w:pPr>
      <w:r>
        <w:rPr>
          <w:sz w:val="24"/>
          <w:szCs w:val="24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</w:r>
      <w:hyperlink r:id="rId2">
        <w:r>
          <w:rPr>
            <w:rStyle w:val="Style14"/>
            <w:sz w:val="24"/>
            <w:szCs w:val="24"/>
          </w:rPr>
          <w:t>законодательства</w:t>
        </w:r>
      </w:hyperlink>
      <w:r>
        <w:rPr>
          <w:sz w:val="24"/>
          <w:szCs w:val="24"/>
        </w:rPr>
        <w:t xml:space="preserve"> о градостроительной деятельности;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аммиакопроводов, по предупреждению чрезвычайных ситуаций, по ликвидации последствий возникших на них аварий, катастроф;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иные требования, предусмотренные Земельным кодексом, федеральными законами.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Возникновение прав на земельный участок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отчуждение части здания, сооружения, которая не может быть выделена в натуре вместе с частью земельного участка;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отчуждение сооружения, которое расположено на земельном участке на условиях сервитута.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 допускается отчуждение земельного участка без находящихся на нем здания, сооружения в случае, если они принадлежат одному лицу.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</w:t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Переоформление прав на земельный участок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01.07.2012 в соответствии с правилами, установленными Земельным кодексом Российской Федерации.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01.01.2016.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Переоформление права на земельный участок включает в себя: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уполномоченным органом о предоставлении земельного участка на соответствующем праве;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государственную регистрацию права в соответствии с Федеральным законом от </w:t>
      </w:r>
      <w:r>
        <w:rPr>
          <w:rFonts w:eastAsia="Calibri" w:eastAsiaTheme="minorHAnsi"/>
          <w:sz w:val="24"/>
          <w:szCs w:val="24"/>
          <w:lang w:eastAsia="en-US"/>
        </w:rPr>
        <w:t>13.07.2015 № 218-ФЗ</w:t>
      </w:r>
      <w:r>
        <w:rPr>
          <w:sz w:val="24"/>
          <w:szCs w:val="24"/>
        </w:rPr>
        <w:t xml:space="preserve"> «</w:t>
      </w:r>
      <w:r>
        <w:rPr>
          <w:rFonts w:eastAsia="Calibri" w:eastAsiaTheme="minorHAnsi"/>
          <w:sz w:val="24"/>
          <w:szCs w:val="24"/>
          <w:lang w:eastAsia="en-US"/>
        </w:rPr>
        <w:t>О государственной регистрации недвижимости</w:t>
      </w:r>
      <w:r>
        <w:rPr>
          <w:sz w:val="24"/>
          <w:szCs w:val="24"/>
        </w:rPr>
        <w:t>».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Платность использования земли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исчисления и уплаты земельного налога устанавливается законодательством Российской Федерации о налогах и сборах.</w:t>
      </w:r>
    </w:p>
    <w:p>
      <w:pPr>
        <w:pStyle w:val="Normal"/>
        <w:shd w:val="clear" w:color="auto" w:fill="FFFFFF"/>
        <w:ind w:firstLine="720"/>
        <w:jc w:val="both"/>
        <w:rPr/>
      </w:pPr>
      <w:r>
        <w:rPr>
          <w:sz w:val="24"/>
          <w:szCs w:val="24"/>
        </w:rPr>
        <w:t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Иркутской области, нормативными правовыми актами Усть-Илимского муниципального округа, договорами аренды земельных участков.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Изменение видов разрешенного использования земельных участков и объектов капитального строительства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действующим градостроительным и земельным законодательством утверждены Правила землепользования и застройки Невонского муниципального образования, Тубинского муниципального образования, Бадарминского муниципального образования, Эдучанского муниципального образования, Ершовского муниципального образования, Подъеланского муниципального образования, Седановского муниципального образования включающие в себя градостроительные регламенты.</w:t>
      </w:r>
      <w:r>
        <w:rPr>
          <w:color w:val="800000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основные виды разрешенного использования;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условно разрешенные виды использования;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целью соблюдения требований земельного законодательства лицу, заинтересованному в изменении вида разрешенного использования земельного участка, необходимо обратиться с соответствующим заявлением в уполномоченный орган местного самоуправления.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jc w:val="center"/>
        <w:rPr/>
      </w:pPr>
      <w:r>
        <w:rPr>
          <w:b/>
          <w:bCs/>
          <w:sz w:val="24"/>
          <w:szCs w:val="24"/>
        </w:rPr>
        <w:t>Ответственность за правонарушения в области охраны и использования земель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Главой 13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>
      <w:pPr>
        <w:pStyle w:val="Normal"/>
        <w:shd w:val="clear" w:color="auto" w:fill="FFFFFF"/>
        <w:ind w:firstLine="720"/>
        <w:jc w:val="both"/>
        <w:rPr/>
      </w:pPr>
      <w:r>
        <w:rPr>
          <w:sz w:val="24"/>
          <w:szCs w:val="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Конституцией Российской Федерации;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Кодексом Российской Федерации об административных правонарушениях;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Земельным кодексом Российской Федерации;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31.07.2020 N 248-ФЗ «О государственном контроле (надзоре) и муниципальном контроле в Российской Федерации»;</w:t>
      </w:r>
    </w:p>
    <w:p>
      <w:pPr>
        <w:pStyle w:val="Normal"/>
        <w:shd w:val="clear" w:color="auto" w:fill="FFFFFF"/>
        <w:jc w:val="both"/>
        <w:rPr/>
      </w:pPr>
      <w:r>
        <w:rPr>
          <w:sz w:val="24"/>
          <w:szCs w:val="24"/>
        </w:rPr>
        <w:t>- иными нормативными правовыми актами Усть-Илимского муниципального округа.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>
        <w:rPr>
          <w:b/>
          <w:bCs/>
          <w:sz w:val="24"/>
          <w:szCs w:val="24"/>
        </w:rPr>
        <w:t xml:space="preserve">статья 7.1.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 </w:t>
      </w:r>
      <w:r>
        <w:rPr>
          <w:b/>
          <w:bCs/>
          <w:sz w:val="24"/>
          <w:szCs w:val="24"/>
        </w:rPr>
        <w:t>статья 7.34.</w:t>
      </w:r>
      <w:r>
        <w:rPr>
          <w:sz w:val="24"/>
          <w:szCs w:val="24"/>
        </w:rPr>
        <w:t> 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Использование земельного участка на праве постоянного (бессрочного) пользования юридическим лицом, не выполнившим в установленный федеральным </w:t>
      </w:r>
      <w:hyperlink r:id="rId3">
        <w:r>
          <w:rPr>
            <w:rStyle w:val="Style14"/>
            <w:rFonts w:eastAsia="Calibri" w:eastAsiaTheme="minorHAnsi"/>
            <w:color w:val="0000FF"/>
            <w:sz w:val="24"/>
            <w:szCs w:val="24"/>
            <w:lang w:eastAsia="en-US"/>
          </w:rPr>
          <w:t>законом</w:t>
        </w:r>
      </w:hyperlink>
      <w:r>
        <w:rPr>
          <w:rFonts w:eastAsia="Calibri" w:eastAsiaTheme="minorHAnsi"/>
          <w:sz w:val="24"/>
          <w:szCs w:val="24"/>
          <w:lang w:eastAsia="en-US"/>
        </w:rPr>
        <w:t xml:space="preserve">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</w:r>
      <w:r>
        <w:rPr>
          <w:sz w:val="24"/>
          <w:szCs w:val="24"/>
        </w:rPr>
        <w:t>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r>
        <w:rPr>
          <w:b/>
          <w:bCs/>
          <w:sz w:val="24"/>
          <w:szCs w:val="24"/>
        </w:rPr>
        <w:t xml:space="preserve">статья 8.6.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1. Самовольное снятие или перемещение плодородного слоя почвы;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потребления;</w:t>
      </w:r>
    </w:p>
    <w:p>
      <w:pPr>
        <w:pStyle w:val="Normal"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 </w:t>
      </w:r>
      <w:r>
        <w:rPr>
          <w:b/>
          <w:bCs/>
          <w:sz w:val="24"/>
          <w:szCs w:val="24"/>
        </w:rPr>
        <w:t xml:space="preserve">статья 8.8. 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статьи;</w:t>
      </w:r>
    </w:p>
    <w:p>
      <w:pPr>
        <w:pStyle w:val="Normal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2.1. Неиспользование земельного участка из земель сельскохозяйственного назначения, оборот которого регулируется Федеральным законом от 24.07.2002 №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назначения;</w:t>
      </w:r>
    </w:p>
    <w:p>
      <w:pPr>
        <w:pStyle w:val="Normal"/>
        <w:shd w:val="clear" w:color="auto" w:fill="FFFFFF"/>
        <w:jc w:val="both"/>
        <w:rPr/>
      </w:pPr>
      <w:r>
        <w:rPr>
          <w:sz w:val="24"/>
          <w:szCs w:val="24"/>
        </w:rPr>
        <w:t>часть 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>
      <w:pPr>
        <w:pStyle w:val="Normal"/>
        <w:shd w:val="clear" w:color="auto" w:fill="FFFFFF"/>
        <w:jc w:val="both"/>
        <w:rPr/>
      </w:pPr>
      <w:r>
        <w:rPr>
          <w:sz w:val="24"/>
          <w:szCs w:val="24"/>
        </w:rPr>
        <w:t>часть 4. Невыполнение или несвоевременное выполнение обязанностей по приведению земель в состояние, пригодное для использования по целевому назначению.</w:t>
      </w:r>
    </w:p>
    <w:p>
      <w:pPr>
        <w:pStyle w:val="Normal"/>
        <w:rPr/>
      </w:pPr>
      <w:r>
        <w:rPr/>
      </w:r>
    </w:p>
    <w:p>
      <w:pPr>
        <w:pStyle w:val="ConsPlusTitle"/>
        <w:widowControl/>
        <w:ind w:firstLine="705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  <w:sz w:val="24"/>
          <w:szCs w:val="24"/>
        </w:rPr>
        <w:t xml:space="preserve">Председатель Комитета                                                                                              А.С. Бубелова  </w:t>
        <w:tab/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ab/>
        <w:tab/>
        <w:t xml:space="preserve">   </w:t>
        <w:tab/>
        <w:tab/>
        <w:t xml:space="preserve">                 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jc w:val="both"/>
        <w:rPr>
          <w:rFonts w:ascii="Times New Roman" w:hAnsi="Times New Roman"/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39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833c5e"/>
    <w:pPr>
      <w:keepNext/>
      <w:numPr>
        <w:ilvl w:val="0"/>
        <w:numId w:val="1"/>
      </w:numPr>
      <w:suppressAutoHyphens w:val="true"/>
      <w:jc w:val="center"/>
      <w:outlineLvl w:val="0"/>
      <w:outlineLvl w:val="0"/>
    </w:pPr>
    <w:rPr>
      <w:b/>
      <w:sz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Стиль3"/>
    <w:basedOn w:val="DefaultParagraphFont"/>
    <w:uiPriority w:val="1"/>
    <w:qFormat/>
    <w:rsid w:val="00893985"/>
    <w:rPr>
      <w:rFonts w:ascii="Times New Roman" w:hAnsi="Times New Roman"/>
      <w:spacing w:val="0"/>
      <w:sz w:val="28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893985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833c5e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9398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893985"/>
    <w:pPr/>
    <w:rPr>
      <w:rFonts w:ascii="Tahoma" w:hAnsi="Tahoma" w:cs="Tahoma"/>
      <w:sz w:val="16"/>
      <w:szCs w:val="16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00000A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4C15975526F311AC7B51E81C60BAC832CB00D23FFE82CDA5643071AC3CE73AF98043465B1022B0EA5EA63D963BB424C56B1B33BF22400D1R1eEC" TargetMode="External"/><Relationship Id="rId3" Type="http://schemas.openxmlformats.org/officeDocument/2006/relationships/hyperlink" Target="consultantplus://offline/ref=95730A546D65E2B8BCBC693440FFD558D92D7530FE0BFAA6A4A393D1360723EB9EF8C286F386A5BAF6E5F3AD021C22BC0AE1A9833120B90809M6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LibreOffice/5.2.2.2$Windows_X86_64 LibreOffice_project/8f96e87c890bf8fa77463cd4b640a2312823f3ad</Application>
  <Pages>8</Pages>
  <Words>2141</Words>
  <Characters>16612</Characters>
  <CharactersWithSpaces>19081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2022-01-12T02:03:00Z</dcterms:created>
  <dc:creator>User</dc:creator>
  <dc:description/>
  <dc:language>ru-RU</dc:language>
  <cp:lastModifiedBy/>
  <cp:lastPrinted>2025-01-20T10:56:44Z</cp:lastPrinted>
  <dcterms:modified xsi:type="dcterms:W3CDTF">2025-01-20T11:02:22Z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