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0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Меры по поддержки мобилизованных физических лиц и представителей малого и среднего бизнеса</w:t>
      </w:r>
    </w:p>
    <w:p w14:paraId="02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0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u w:val="none"/>
        </w:rPr>
        <w:t>Правительство России </w:t>
      </w:r>
      <w:r>
        <w:rPr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Fonts w:ascii="Times New Roman" w:hAnsi="Times New Roman"/>
          <w:color w:val="000000"/>
          <w:sz w:val="28"/>
          <w:u w:val="none"/>
        </w:rPr>
        <w:instrText>HYPERLINK "http://static.government.ru/media/files/c2L59ZuV46LOcmEY9N513th109bN7Mwy.pdf"</w:instrText>
      </w:r>
      <w:r>
        <w:rPr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Fonts w:ascii="Times New Roman" w:hAnsi="Times New Roman"/>
          <w:color w:val="000000"/>
          <w:sz w:val="28"/>
          <w:u w:val="none"/>
        </w:rPr>
        <w:t>приняло постановление</w:t>
      </w:r>
      <w:r>
        <w:rPr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color w:val="000000"/>
          <w:sz w:val="28"/>
          <w:u w:val="none"/>
        </w:rPr>
        <w:t xml:space="preserve"> о</w:t>
      </w:r>
      <w:r>
        <w:rPr>
          <w:rFonts w:ascii="Times New Roman" w:hAnsi="Times New Roman"/>
          <w:color w:val="000000"/>
          <w:sz w:val="28"/>
        </w:rPr>
        <w:t>т 20.10.2022 № 1874 «О мерах поддержки мобилизованных лиц»</w:t>
      </w:r>
      <w:r>
        <w:rPr>
          <w:rFonts w:ascii="Times New Roman" w:hAnsi="Times New Roman"/>
          <w:color w:val="000000"/>
          <w:sz w:val="28"/>
        </w:rPr>
        <w:t>, которое регулирует вопросы сдачи отчетности и уплаты налогов теми, кто призван в действующую армию.</w:t>
      </w:r>
    </w:p>
    <w:p w14:paraId="04000000">
      <w:pPr>
        <w:widowControl w:val="1"/>
        <w:spacing w:after="30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Так, все сроки переноса уплаты налогов и сборов, рассрочки по уплате, представления отчетности распространяются на период прохождения военной службы и на несколько месяцев после окончания мобилизации или увольнения с военной службы. </w:t>
      </w:r>
      <w:r>
        <w:rPr>
          <w:rFonts w:ascii="Times New Roman" w:hAnsi="Times New Roman"/>
          <w:color w:val="000000"/>
          <w:sz w:val="28"/>
        </w:rPr>
        <w:t>Таким образом, перед тем, как</w:t>
      </w:r>
      <w:r>
        <w:rPr>
          <w:rFonts w:ascii="Times New Roman" w:hAnsi="Times New Roman"/>
          <w:color w:val="000000"/>
          <w:sz w:val="28"/>
        </w:rPr>
        <w:t xml:space="preserve"> вернуться к платежам и сдаче отчетности, у предпринимателя будет время для восстановления прежней деловой активности.</w:t>
      </w:r>
    </w:p>
    <w:p w14:paraId="05000000">
      <w:pPr>
        <w:widowControl w:val="1"/>
        <w:spacing w:after="30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частности, включительно до 28 числа третьего месяца, следующего за месяцем окончания службы, продлены сроки уплаты:</w:t>
      </w:r>
    </w:p>
    <w:p w14:paraId="06000000">
      <w:pPr>
        <w:widowControl w:val="1"/>
        <w:numPr>
          <w:ilvl w:val="0"/>
          <w:numId w:val="1"/>
        </w:numPr>
        <w:spacing w:after="15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налогов (кроме НДФЛ, который уплачивает налоговый агент, и налога на прибыль организаций, удержанного у источника выплаты дохода);</w:t>
      </w:r>
    </w:p>
    <w:p w14:paraId="07000000">
      <w:pPr>
        <w:widowControl w:val="1"/>
        <w:numPr>
          <w:ilvl w:val="0"/>
          <w:numId w:val="1"/>
        </w:numPr>
        <w:spacing w:after="15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сборов (за исключением государственной пошлины и сбора за пользование объектами животного мира);</w:t>
      </w:r>
    </w:p>
    <w:p w14:paraId="08000000">
      <w:pPr>
        <w:widowControl w:val="1"/>
        <w:numPr>
          <w:ilvl w:val="0"/>
          <w:numId w:val="1"/>
        </w:numPr>
        <w:spacing w:after="15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страховых взносов (в том числе фиксированных на обязательное пенсионное страхование и обязательное медицинское страхование);</w:t>
      </w:r>
    </w:p>
    <w:p w14:paraId="09000000">
      <w:pPr>
        <w:widowControl w:val="1"/>
        <w:numPr>
          <w:ilvl w:val="0"/>
          <w:numId w:val="1"/>
        </w:numPr>
        <w:spacing w:after="15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страховых взносов на обязательное социальное страхование от несчастных случаев на производстве и профессиональных заболеваний, которые приходятся на указанный период.</w:t>
      </w:r>
    </w:p>
    <w:p w14:paraId="0A000000">
      <w:pPr>
        <w:widowControl w:val="1"/>
        <w:spacing w:after="30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 этом налоги, сборы, страховые взносы, уплату по которым перенесли, бизнес может оплатить в рассрочку. Первый платеж, равный одной шестой суммы, необходимо внести не позднее 28 числа месяца, следующего за месяцем, в котором наступил уже продленный срок уплаты соответствующих налогов (авансовых платежей), сборов, страховых взносов. Далее уплата ежемесячно равными платежами.</w:t>
      </w:r>
    </w:p>
    <w:p w14:paraId="0B000000">
      <w:pPr>
        <w:widowControl w:val="1"/>
        <w:spacing w:after="30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Будет продлен не только период уплаты обязательных платежей, но и сроки предоставления налоговых деклараций.</w:t>
      </w:r>
    </w:p>
    <w:p w14:paraId="0C000000">
      <w:pPr>
        <w:widowControl w:val="1"/>
        <w:spacing w:after="30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 25 числа третьего месяца, следующего за месяцем окончания периода частичной мобилизации или увольнения со службы, продлены сроки представления:</w:t>
      </w:r>
    </w:p>
    <w:p w14:paraId="0D000000">
      <w:pPr>
        <w:widowControl w:val="1"/>
        <w:numPr>
          <w:ilvl w:val="0"/>
          <w:numId w:val="2"/>
        </w:numPr>
        <w:spacing w:after="15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налоговых деклараций (кроме деклараций по НДС);</w:t>
      </w:r>
    </w:p>
    <w:p w14:paraId="0E000000">
      <w:pPr>
        <w:widowControl w:val="1"/>
        <w:numPr>
          <w:ilvl w:val="0"/>
          <w:numId w:val="2"/>
        </w:numPr>
        <w:spacing w:after="15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налоговых расчетов о выплаченных иностранным организациям доходах и удержанных налогах;</w:t>
      </w:r>
    </w:p>
    <w:p w14:paraId="0F000000">
      <w:pPr>
        <w:widowControl w:val="1"/>
        <w:numPr>
          <w:ilvl w:val="0"/>
          <w:numId w:val="2"/>
        </w:numPr>
        <w:spacing w:after="15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расчетов сумм НДФЛ, исчисленных и удержанных налоговыми агентами;</w:t>
      </w:r>
    </w:p>
    <w:p w14:paraId="10000000">
      <w:pPr>
        <w:widowControl w:val="1"/>
        <w:numPr>
          <w:ilvl w:val="0"/>
          <w:numId w:val="2"/>
        </w:numPr>
        <w:spacing w:after="15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расчетов по авансовым платежам;</w:t>
      </w:r>
    </w:p>
    <w:p w14:paraId="11000000">
      <w:pPr>
        <w:widowControl w:val="1"/>
        <w:numPr>
          <w:ilvl w:val="0"/>
          <w:numId w:val="2"/>
        </w:numPr>
        <w:spacing w:after="15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бухгалтерской (финансовой) отчетности.</w:t>
      </w:r>
    </w:p>
    <w:p w14:paraId="1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>Отсрочка и рассрочка по уплате налогов касается не только </w:t>
      </w:r>
      <w:r>
        <w:rPr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Fonts w:ascii="Times New Roman" w:hAnsi="Times New Roman"/>
          <w:color w:val="000000"/>
          <w:sz w:val="28"/>
          <w:u w:val="none"/>
        </w:rPr>
        <w:instrText>HYPERLINK "https://www.nalog.gov.ru/rn77/ip/"</w:instrText>
      </w:r>
      <w:r>
        <w:rPr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Fonts w:ascii="Times New Roman" w:hAnsi="Times New Roman"/>
          <w:color w:val="000000"/>
          <w:sz w:val="28"/>
          <w:u w:val="none"/>
        </w:rPr>
        <w:t>предпринимателей</w:t>
      </w:r>
      <w:r>
        <w:rPr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color w:val="000000"/>
          <w:sz w:val="28"/>
          <w:u w:val="none"/>
        </w:rPr>
        <w:t> и </w:t>
      </w:r>
      <w:r>
        <w:rPr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Fonts w:ascii="Times New Roman" w:hAnsi="Times New Roman"/>
          <w:color w:val="000000"/>
          <w:sz w:val="28"/>
          <w:u w:val="none"/>
        </w:rPr>
        <w:instrText>HYPERLINK "https://www.nalog.gov.ru/rn77/yul/"</w:instrText>
      </w:r>
      <w:r>
        <w:rPr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Fonts w:ascii="Times New Roman" w:hAnsi="Times New Roman"/>
          <w:color w:val="000000"/>
          <w:sz w:val="28"/>
          <w:u w:val="none"/>
        </w:rPr>
        <w:t>организаций</w:t>
      </w:r>
      <w:r>
        <w:rPr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color w:val="000000"/>
          <w:sz w:val="28"/>
          <w:u w:val="none"/>
        </w:rPr>
        <w:t>, но и </w:t>
      </w:r>
      <w:r>
        <w:rPr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Fonts w:ascii="Times New Roman" w:hAnsi="Times New Roman"/>
          <w:color w:val="000000"/>
          <w:sz w:val="28"/>
          <w:u w:val="none"/>
        </w:rPr>
        <w:instrText>HYPERLINK "https://www.nalog.gov.ru/rn77/fl/"</w:instrText>
      </w:r>
      <w:r>
        <w:rPr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Fonts w:ascii="Times New Roman" w:hAnsi="Times New Roman"/>
          <w:color w:val="000000"/>
          <w:sz w:val="28"/>
          <w:u w:val="none"/>
        </w:rPr>
        <w:t>физических лиц</w:t>
      </w:r>
      <w:r>
        <w:rPr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color w:val="000000"/>
          <w:sz w:val="28"/>
          <w:u w:val="none"/>
        </w:rPr>
        <w:t>. Речь идет об имущественных налогах и НДФЛ (кроме НДФЛ, который уплачивает налоговый агент). Также для физических лиц продлены сроки представления в налоговые органы деклараций и отчётных документов в рамках валютного контроля. Все сроки по уплате налогов и представлению отчетности для мобилизованных переносятся автоматически.</w:t>
      </w:r>
    </w:p>
    <w:p w14:paraId="1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Fonts w:ascii="Times New Roman" w:hAnsi="Times New Roman"/>
          <w:color w:val="000000"/>
          <w:sz w:val="28"/>
          <w:u w:val="none"/>
        </w:rPr>
        <w:instrText>HYPERLINK "https://npd.nalog.ru/"</w:instrText>
      </w:r>
      <w:r>
        <w:rPr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Fonts w:ascii="Times New Roman" w:hAnsi="Times New Roman"/>
          <w:color w:val="000000"/>
          <w:sz w:val="28"/>
          <w:u w:val="none"/>
        </w:rPr>
        <w:t>Самозанятые</w:t>
      </w:r>
      <w:r>
        <w:rPr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color w:val="000000"/>
          <w:sz w:val="28"/>
          <w:u w:val="none"/>
        </w:rPr>
        <w:t>, которые у</w:t>
      </w:r>
      <w:r>
        <w:rPr>
          <w:rFonts w:ascii="Times New Roman" w:hAnsi="Times New Roman"/>
          <w:color w:val="000000"/>
          <w:sz w:val="28"/>
        </w:rPr>
        <w:t>тратили право на применение налога на профессиональный доход, и предприниматели, которые перешли на НПД, обязаны уведомить налоговый орган о переходе на иные специальные налоговые режимы либо об отказе от них в течение 20 и 30 дней соответственно. Эти сроки также продлены на период несения военной службы и вплоть до конца четвертого месяца, следующего за месяцем окончания мобилизации или увольнения.</w:t>
      </w:r>
    </w:p>
    <w:p w14:paraId="14000000">
      <w:pPr>
        <w:widowControl w:val="1"/>
        <w:spacing w:after="30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Кроме того, в отношении мобилизованных предпринимателей приостанавливаются уже начатые выездные налоговые проверки, не могут быть назначены новые, в том числе валютные или по кассам, не могут быть заблокированы счета. Приостанавливаются сроки вручения актов и рассмотрения материалов налоговых проверок, вынесения решений по ним, а также направления требований о представлении документов (информации), проведения допросов и т.д. При этом ограничения на проведение мероприятий контроля не касаются камеральных проверок деклараций по НДС и акцизам с суммой к возмещению и НДФЛ к возврату. Таким образом, средства будут возвращены налогоплательщикам в установленные сроки, если не будет выявлено нарушений. Сроки ограничения – весь период службы и до 28 числа третьего месяца, следующего за месяцем окончания частичной мобилизации.</w:t>
      </w:r>
    </w:p>
    <w:p w14:paraId="15000000">
      <w:pPr>
        <w:widowControl w:val="1"/>
        <w:spacing w:after="30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Предельные сроки направления требования об уплате налогов, сборов, страховых взносов, пеней, процентов и принятия решения о взыскании налогов, сборов, страховых взносов, пеней, штрафов, процентов увеличиваются на шесть месяцев.</w:t>
      </w:r>
    </w:p>
    <w:p w14:paraId="16000000">
      <w:pPr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suff w:val="tab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bullet"/>
      <w:suff w:val="tab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heading 9"/>
    <w:basedOn w:val="Style_1"/>
    <w:next w:val="Style_1"/>
    <w:link w:val="Style_9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9_ch" w:type="character">
    <w:name w:val="heading 9"/>
    <w:basedOn w:val="Style_1_ch"/>
    <w:link w:val="Style_9"/>
    <w:rPr>
      <w:color w:themeColor="text1" w:themeTint="D8" w:val="272727"/>
    </w:rPr>
  </w:style>
  <w:style w:styleId="Style_10" w:type="paragraph">
    <w:name w:val="List Paragraph"/>
    <w:basedOn w:val="Style_1"/>
    <w:link w:val="Style_10_ch"/>
    <w:pPr>
      <w:widowControl w:val="1"/>
      <w:ind w:left="720"/>
      <w:contextualSpacing w:val="1"/>
    </w:pPr>
  </w:style>
  <w:style w:styleId="Style_10_ch" w:type="character">
    <w:name w:val="List Paragraph"/>
    <w:basedOn w:val="Style_1_ch"/>
    <w:link w:val="Style_10"/>
  </w:style>
  <w:style w:styleId="Style_11" w:type="paragraph">
    <w:name w:val="Intense Reference"/>
    <w:basedOn w:val="Style_12"/>
    <w:link w:val="Style_11_ch"/>
    <w:rPr>
      <w:b w:val="1"/>
      <w:smallCaps w:val="1"/>
      <w:color w:themeColor="accent1" w:themeShade="BF" w:val="2F5496"/>
      <w:spacing w:val="5"/>
    </w:rPr>
  </w:style>
  <w:style w:styleId="Style_11_ch" w:type="character">
    <w:name w:val="Intense Reference"/>
    <w:basedOn w:val="Style_12_ch"/>
    <w:link w:val="Style_11"/>
    <w:rPr>
      <w:b w:val="1"/>
      <w:smallCaps w:val="1"/>
      <w:color w:themeColor="accent1" w:themeShade="BF" w:val="2F5496"/>
      <w:spacing w:val="5"/>
    </w:rPr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basedOn w:val="Style_1"/>
    <w:next w:val="Style_1"/>
    <w:link w:val="Style_14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4_ch" w:type="character">
    <w:name w:val="heading 5"/>
    <w:basedOn w:val="Style_1_ch"/>
    <w:link w:val="Style_14"/>
    <w:rPr>
      <w:color w:themeColor="accent1" w:themeShade="BF" w:val="2F5496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5_ch" w:type="character">
    <w:name w:val="heading 1"/>
    <w:basedOn w:val="Style_1_ch"/>
    <w:link w:val="Style_15"/>
    <w:rPr>
      <w:rFonts w:asciiTheme="majorAscii" w:hAnsiTheme="majorHAnsi"/>
      <w:color w:themeColor="accent1" w:themeShade="BF" w:val="2F5496"/>
      <w:sz w:val="40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8" w:type="paragraph">
    <w:name w:val="heading 8"/>
    <w:basedOn w:val="Style_1"/>
    <w:next w:val="Style_1"/>
    <w:link w:val="Style_18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8_ch" w:type="character">
    <w:name w:val="heading 8"/>
    <w:basedOn w:val="Style_1_ch"/>
    <w:link w:val="Style_18"/>
    <w:rPr>
      <w:i w:val="1"/>
      <w:color w:themeColor="text1" w:themeTint="D8" w:val="272727"/>
    </w:rPr>
  </w:style>
  <w:style w:styleId="Style_19" w:type="paragraph">
    <w:name w:val="toc 1"/>
    <w:next w:val="Style_1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1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1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Quote"/>
    <w:basedOn w:val="Style_1"/>
    <w:next w:val="Style_1"/>
    <w:link w:val="Style_23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3_ch" w:type="character">
    <w:name w:val="Quote"/>
    <w:basedOn w:val="Style_1_ch"/>
    <w:link w:val="Style_23"/>
    <w:rPr>
      <w:i w:val="1"/>
      <w:color w:themeColor="text1" w:themeTint="BF" w:val="404040"/>
    </w:rPr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Intense Emphasis"/>
    <w:basedOn w:val="Style_12"/>
    <w:link w:val="Style_25_ch"/>
    <w:rPr>
      <w:i w:val="1"/>
      <w:color w:themeColor="accent1" w:themeShade="BF" w:val="2F5496"/>
    </w:rPr>
  </w:style>
  <w:style w:styleId="Style_25_ch" w:type="character">
    <w:name w:val="Intense Emphasis"/>
    <w:basedOn w:val="Style_12_ch"/>
    <w:link w:val="Style_25"/>
    <w:rPr>
      <w:i w:val="1"/>
      <w:color w:themeColor="accent1" w:themeShade="BF" w:val="2F5496"/>
    </w:rPr>
  </w:style>
  <w:style w:styleId="Style_26" w:type="paragraph">
    <w:name w:val="Intense Quote"/>
    <w:basedOn w:val="Style_1"/>
    <w:next w:val="Style_1"/>
    <w:link w:val="Style_26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6_ch" w:type="character">
    <w:name w:val="Intense Quote"/>
    <w:basedOn w:val="Style_1_ch"/>
    <w:link w:val="Style_26"/>
    <w:rPr>
      <w:i w:val="1"/>
      <w:color w:themeColor="accent1" w:themeShade="BF" w:val="2F5496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2025-12-16T03:34:00Z</dcterms:created>
  <dcterms:modified xsi:type="dcterms:W3CDTF">2025-12-16T03:44:18Z</dcterms:modified>
</cp:coreProperties>
</file>