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8B" w:rsidRDefault="00006635" w:rsidP="00021324">
      <w:pPr>
        <w:spacing w:after="0"/>
        <w:ind w:firstLine="709"/>
        <w:jc w:val="center"/>
        <w:rPr>
          <w:b/>
          <w:bCs/>
          <w:color w:val="333333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</w:t>
      </w:r>
      <w:r w:rsidRPr="00006635">
        <w:rPr>
          <w:rFonts w:ascii="Times New Roman" w:hAnsi="Times New Roman" w:cs="Times New Roman"/>
          <w:b/>
          <w:sz w:val="28"/>
          <w:szCs w:val="28"/>
        </w:rPr>
        <w:t xml:space="preserve">правка о </w:t>
      </w:r>
      <w:r w:rsidR="00E820C2" w:rsidRPr="00E820C2">
        <w:rPr>
          <w:rFonts w:ascii="Times New Roman" w:hAnsi="Times New Roman" w:cs="Times New Roman"/>
          <w:b/>
          <w:bCs/>
          <w:sz w:val="28"/>
          <w:szCs w:val="28"/>
        </w:rPr>
        <w:t>социально-экономич</w:t>
      </w:r>
      <w:r w:rsidR="00E820C2" w:rsidRPr="00E820C2">
        <w:rPr>
          <w:rFonts w:ascii="Times New Roman" w:hAnsi="Times New Roman" w:cs="Times New Roman"/>
          <w:sz w:val="28"/>
          <w:szCs w:val="28"/>
        </w:rPr>
        <w:t>е</w:t>
      </w:r>
      <w:r w:rsidR="00E820C2" w:rsidRPr="00E820C2">
        <w:rPr>
          <w:rFonts w:ascii="Times New Roman" w:hAnsi="Times New Roman" w:cs="Times New Roman"/>
          <w:b/>
          <w:bCs/>
          <w:sz w:val="28"/>
          <w:szCs w:val="28"/>
        </w:rPr>
        <w:t>ской ситуации</w:t>
      </w:r>
    </w:p>
    <w:p w:rsidR="00E820C2" w:rsidRDefault="00E820C2" w:rsidP="0002132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3D64B3">
        <w:rPr>
          <w:rFonts w:ascii="Times New Roman" w:hAnsi="Times New Roman" w:cs="Times New Roman"/>
          <w:b/>
          <w:sz w:val="28"/>
          <w:szCs w:val="28"/>
        </w:rPr>
        <w:t>Черемховском районном муниципальном образовании</w:t>
      </w:r>
    </w:p>
    <w:p w:rsidR="00E820C2" w:rsidRPr="00451DDF" w:rsidRDefault="000C0919" w:rsidP="0002132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</w:t>
      </w:r>
      <w:r w:rsidR="00E820C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C0919" w:rsidRDefault="000C0919" w:rsidP="000213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2018 года наблюдается преимущественно положительная динамика основных экономических показателей. Так, выручка от реализации продукции (работ, услуг) составила 3 765,794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руб., что на 5,3% превосходит значение аналогичного показателя 2017 года.</w:t>
      </w:r>
    </w:p>
    <w:p w:rsidR="000C0919" w:rsidRDefault="000C0919" w:rsidP="000213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Выручка от реализации продукции (работ, услуг) на душу населения в отчетном периоде составила 132,305</w:t>
      </w:r>
      <w:r w:rsidRPr="002B4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 или 6,2% к уровню сравниваемого периода.</w:t>
      </w:r>
    </w:p>
    <w:p w:rsidR="000C0919" w:rsidRDefault="000C0919" w:rsidP="000213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налогов и сборов в консолидированный местный бюджет составило 146,6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руб., что на 11,2% выше значения прошлого года. Обеспеченность собственными доходами консолидированного местного бюджета на душу населения составила 5,151 тыс. руб., что на 12,2% выше значения 2017 года.</w:t>
      </w:r>
    </w:p>
    <w:p w:rsidR="00006635" w:rsidRPr="009332E9" w:rsidRDefault="00006635" w:rsidP="000213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2E9">
        <w:rPr>
          <w:rFonts w:ascii="Times New Roman" w:hAnsi="Times New Roman" w:cs="Times New Roman"/>
          <w:sz w:val="28"/>
          <w:szCs w:val="28"/>
        </w:rPr>
        <w:t>Территория района характеризуется преимущественно аграрной направленностью. В экономике региона Черемховский район занимает ведущие позиции по объемам производимой сельхозпродукции. При этом наличие значительной минерально-сырьевой базы высокого качества представляет собой экономический потенциал и является предметом инвестиционной привлекательности.</w:t>
      </w:r>
    </w:p>
    <w:p w:rsidR="00006635" w:rsidRPr="009332E9" w:rsidRDefault="009332E9" w:rsidP="000213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2E9">
        <w:rPr>
          <w:rFonts w:ascii="Times New Roman" w:hAnsi="Times New Roman" w:cs="Times New Roman"/>
          <w:sz w:val="28"/>
          <w:szCs w:val="28"/>
        </w:rPr>
        <w:t>На сегодняшний день о</w:t>
      </w:r>
      <w:r w:rsidR="00006635" w:rsidRPr="009332E9">
        <w:rPr>
          <w:rFonts w:ascii="Times New Roman" w:hAnsi="Times New Roman" w:cs="Times New Roman"/>
          <w:sz w:val="28"/>
          <w:szCs w:val="28"/>
        </w:rPr>
        <w:t>снову экономики составляют такие виды деятельности, как сельское хозяйство, обрабатывающие производства</w:t>
      </w:r>
      <w:r w:rsidR="000C0919">
        <w:rPr>
          <w:rFonts w:ascii="Times New Roman" w:hAnsi="Times New Roman" w:cs="Times New Roman"/>
          <w:sz w:val="28"/>
          <w:szCs w:val="28"/>
        </w:rPr>
        <w:t xml:space="preserve">, </w:t>
      </w:r>
      <w:r w:rsidR="00006635" w:rsidRPr="009332E9">
        <w:rPr>
          <w:rFonts w:ascii="Times New Roman" w:hAnsi="Times New Roman" w:cs="Times New Roman"/>
          <w:sz w:val="28"/>
          <w:szCs w:val="28"/>
        </w:rPr>
        <w:t xml:space="preserve">добыча </w:t>
      </w:r>
      <w:r w:rsidR="000C0919">
        <w:rPr>
          <w:rFonts w:ascii="Times New Roman" w:hAnsi="Times New Roman" w:cs="Times New Roman"/>
          <w:sz w:val="28"/>
          <w:szCs w:val="28"/>
        </w:rPr>
        <w:t xml:space="preserve">угля и </w:t>
      </w:r>
      <w:r w:rsidR="00006635" w:rsidRPr="009332E9">
        <w:rPr>
          <w:rFonts w:ascii="Times New Roman" w:hAnsi="Times New Roman" w:cs="Times New Roman"/>
          <w:sz w:val="28"/>
          <w:szCs w:val="28"/>
        </w:rPr>
        <w:t>тальковой руды.</w:t>
      </w:r>
    </w:p>
    <w:p w:rsidR="00692181" w:rsidRPr="009332E9" w:rsidRDefault="00006635" w:rsidP="000213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2E9">
        <w:rPr>
          <w:rFonts w:ascii="Times New Roman" w:hAnsi="Times New Roman" w:cs="Times New Roman"/>
          <w:sz w:val="28"/>
          <w:szCs w:val="28"/>
        </w:rPr>
        <w:t xml:space="preserve">В общем объеме отгруженных товаров, выполненных работ и услуг доля промышленного производства – </w:t>
      </w:r>
      <w:r w:rsidR="000C0919">
        <w:rPr>
          <w:rFonts w:ascii="Times New Roman" w:hAnsi="Times New Roman" w:cs="Times New Roman"/>
          <w:sz w:val="28"/>
          <w:szCs w:val="28"/>
        </w:rPr>
        <w:t xml:space="preserve">23,5%, доля сельского хозяйства – 62%, оставшиеся 14,5% составляют организации, осуществляющие деятельность в сферах </w:t>
      </w:r>
      <w:r w:rsidRPr="009332E9">
        <w:rPr>
          <w:rFonts w:ascii="Times New Roman" w:hAnsi="Times New Roman" w:cs="Times New Roman"/>
          <w:sz w:val="28"/>
          <w:szCs w:val="28"/>
        </w:rPr>
        <w:t>строительства, торговли</w:t>
      </w:r>
      <w:r w:rsidR="000C0919">
        <w:rPr>
          <w:rFonts w:ascii="Times New Roman" w:hAnsi="Times New Roman" w:cs="Times New Roman"/>
          <w:sz w:val="28"/>
          <w:szCs w:val="28"/>
        </w:rPr>
        <w:t>,</w:t>
      </w:r>
      <w:r w:rsidRPr="009332E9">
        <w:rPr>
          <w:rFonts w:ascii="Times New Roman" w:hAnsi="Times New Roman" w:cs="Times New Roman"/>
          <w:sz w:val="28"/>
          <w:szCs w:val="28"/>
        </w:rPr>
        <w:t xml:space="preserve"> транспортировки </w:t>
      </w:r>
      <w:r w:rsidR="000C0919">
        <w:rPr>
          <w:rFonts w:ascii="Times New Roman" w:hAnsi="Times New Roman" w:cs="Times New Roman"/>
          <w:sz w:val="28"/>
          <w:szCs w:val="28"/>
        </w:rPr>
        <w:t xml:space="preserve">и хранения, </w:t>
      </w:r>
      <w:r w:rsidR="000C0919" w:rsidRPr="000C0919">
        <w:rPr>
          <w:rFonts w:ascii="Times New Roman" w:hAnsi="Times New Roman" w:cs="Times New Roman"/>
          <w:sz w:val="28"/>
          <w:szCs w:val="28"/>
        </w:rPr>
        <w:t>операци</w:t>
      </w:r>
      <w:r w:rsidR="000C0919">
        <w:rPr>
          <w:rFonts w:ascii="Times New Roman" w:hAnsi="Times New Roman" w:cs="Times New Roman"/>
          <w:sz w:val="28"/>
          <w:szCs w:val="28"/>
        </w:rPr>
        <w:t>й</w:t>
      </w:r>
      <w:r w:rsidR="000C0919" w:rsidRPr="000C0919">
        <w:rPr>
          <w:rFonts w:ascii="Times New Roman" w:hAnsi="Times New Roman" w:cs="Times New Roman"/>
          <w:sz w:val="28"/>
          <w:szCs w:val="28"/>
        </w:rPr>
        <w:t xml:space="preserve"> с недвижимым имуществом</w:t>
      </w:r>
      <w:r w:rsidR="000C0919">
        <w:rPr>
          <w:rFonts w:ascii="Times New Roman" w:hAnsi="Times New Roman" w:cs="Times New Roman"/>
          <w:sz w:val="28"/>
          <w:szCs w:val="28"/>
        </w:rPr>
        <w:t>.</w:t>
      </w:r>
    </w:p>
    <w:p w:rsidR="005E4502" w:rsidRPr="005E4502" w:rsidRDefault="005E4502" w:rsidP="0002132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DF">
        <w:rPr>
          <w:rFonts w:ascii="Times New Roman" w:hAnsi="Times New Roman" w:cs="Times New Roman"/>
          <w:b/>
          <w:sz w:val="28"/>
          <w:szCs w:val="28"/>
        </w:rPr>
        <w:t>Промышленное производство</w:t>
      </w:r>
    </w:p>
    <w:p w:rsidR="00692181" w:rsidRDefault="00006635" w:rsidP="00021324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5E4502">
        <w:rPr>
          <w:sz w:val="28"/>
          <w:szCs w:val="28"/>
        </w:rPr>
        <w:t>Промышленный комплекс</w:t>
      </w:r>
      <w:r w:rsidR="00692181">
        <w:rPr>
          <w:b/>
          <w:sz w:val="28"/>
          <w:szCs w:val="28"/>
        </w:rPr>
        <w:t xml:space="preserve"> </w:t>
      </w:r>
      <w:r w:rsidR="00692181">
        <w:rPr>
          <w:sz w:val="28"/>
          <w:szCs w:val="28"/>
        </w:rPr>
        <w:t xml:space="preserve">на территории района включает следующие виды деятельности: добыча полезных ископаемых, обрабатывающие производства, </w:t>
      </w:r>
      <w:r w:rsidR="00692181" w:rsidRPr="0070799A">
        <w:rPr>
          <w:sz w:val="28"/>
          <w:szCs w:val="28"/>
        </w:rPr>
        <w:t>обеспечение электр</w:t>
      </w:r>
      <w:r w:rsidR="00692181">
        <w:rPr>
          <w:sz w:val="28"/>
          <w:szCs w:val="28"/>
        </w:rPr>
        <w:t xml:space="preserve">ической энергией, газом и паром, </w:t>
      </w:r>
      <w:r w:rsidR="00692181" w:rsidRPr="0070799A">
        <w:rPr>
          <w:sz w:val="28"/>
          <w:szCs w:val="28"/>
        </w:rPr>
        <w:t>водоснабжение, водоотведение, организация сбора и утилизации отходов</w:t>
      </w:r>
      <w:r w:rsidR="00692181">
        <w:rPr>
          <w:sz w:val="28"/>
          <w:szCs w:val="28"/>
        </w:rPr>
        <w:t>.</w:t>
      </w:r>
    </w:p>
    <w:p w:rsidR="003B0DFE" w:rsidRDefault="00021324" w:rsidP="00021324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отгруженных товаров собственного производства (выполненных работ и услуг) в промышленном производстве составил 886,297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руб., что на 31,4% превышает показатель сравниваемого периода. </w:t>
      </w:r>
      <w:r w:rsidR="00692181">
        <w:rPr>
          <w:sz w:val="28"/>
          <w:szCs w:val="28"/>
        </w:rPr>
        <w:t>Индекс п</w:t>
      </w:r>
      <w:r w:rsidR="000C0919">
        <w:rPr>
          <w:sz w:val="28"/>
          <w:szCs w:val="28"/>
        </w:rPr>
        <w:t>ромышленного производства в 2018</w:t>
      </w:r>
      <w:r w:rsidR="00692181">
        <w:rPr>
          <w:sz w:val="28"/>
          <w:szCs w:val="28"/>
        </w:rPr>
        <w:t xml:space="preserve"> году составил </w:t>
      </w:r>
      <w:r w:rsidR="003B0DFE">
        <w:rPr>
          <w:sz w:val="28"/>
          <w:szCs w:val="28"/>
        </w:rPr>
        <w:t>1</w:t>
      </w:r>
      <w:r>
        <w:rPr>
          <w:sz w:val="28"/>
          <w:szCs w:val="28"/>
        </w:rPr>
        <w:t>16</w:t>
      </w:r>
      <w:r w:rsidR="003B0DFE">
        <w:rPr>
          <w:sz w:val="28"/>
          <w:szCs w:val="28"/>
        </w:rPr>
        <w:t>,8%.</w:t>
      </w:r>
    </w:p>
    <w:p w:rsidR="00006635" w:rsidRPr="009332E9" w:rsidRDefault="00006635" w:rsidP="00021324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9332E9">
        <w:rPr>
          <w:sz w:val="28"/>
          <w:szCs w:val="28"/>
        </w:rPr>
        <w:lastRenderedPageBreak/>
        <w:t xml:space="preserve">В структуре промышленности доминирующее положение занимают организации обрабатывающих производств, их доля в объеме отгруженной </w:t>
      </w:r>
      <w:r w:rsidR="00021324">
        <w:rPr>
          <w:sz w:val="28"/>
          <w:szCs w:val="28"/>
        </w:rPr>
        <w:t>продукции составляет 62</w:t>
      </w:r>
      <w:r w:rsidRPr="009332E9">
        <w:rPr>
          <w:sz w:val="28"/>
          <w:szCs w:val="28"/>
        </w:rPr>
        <w:t>%, дол</w:t>
      </w:r>
      <w:r w:rsidR="00021324">
        <w:rPr>
          <w:sz w:val="28"/>
          <w:szCs w:val="28"/>
        </w:rPr>
        <w:t>я добывающей промышленности – 28</w:t>
      </w:r>
      <w:r w:rsidRPr="009332E9">
        <w:rPr>
          <w:sz w:val="28"/>
          <w:szCs w:val="28"/>
        </w:rPr>
        <w:t>%, на долю организаций, обеспечивающих электрической энерг</w:t>
      </w:r>
      <w:r w:rsidR="00844BA0">
        <w:rPr>
          <w:sz w:val="28"/>
          <w:szCs w:val="28"/>
        </w:rPr>
        <w:t>ией, газом и паром, приходится 8</w:t>
      </w:r>
      <w:r w:rsidRPr="009332E9">
        <w:rPr>
          <w:sz w:val="28"/>
          <w:szCs w:val="28"/>
        </w:rPr>
        <w:t>%, доля организаций водоснабжения, водоотведения, сбора и</w:t>
      </w:r>
      <w:r w:rsidR="00021324">
        <w:rPr>
          <w:sz w:val="28"/>
          <w:szCs w:val="28"/>
        </w:rPr>
        <w:t xml:space="preserve"> утилизации отходов составляет 2</w:t>
      </w:r>
      <w:r w:rsidRPr="009332E9">
        <w:rPr>
          <w:sz w:val="28"/>
          <w:szCs w:val="28"/>
        </w:rPr>
        <w:t>%.</w:t>
      </w:r>
    </w:p>
    <w:p w:rsidR="00021324" w:rsidRPr="00CF4586" w:rsidRDefault="00021324" w:rsidP="00021324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CF4586">
        <w:rPr>
          <w:sz w:val="28"/>
          <w:szCs w:val="28"/>
        </w:rPr>
        <w:t>Добывающая отрасль на территории района представлена добычей тальк</w:t>
      </w:r>
      <w:r w:rsidRPr="00CF4586">
        <w:rPr>
          <w:sz w:val="28"/>
          <w:szCs w:val="28"/>
        </w:rPr>
        <w:t>о</w:t>
      </w:r>
      <w:r w:rsidRPr="00CF4586">
        <w:rPr>
          <w:sz w:val="28"/>
          <w:szCs w:val="28"/>
        </w:rPr>
        <w:t>вой руды и угля. АО «</w:t>
      </w:r>
      <w:proofErr w:type="spellStart"/>
      <w:r w:rsidRPr="00CF4586">
        <w:rPr>
          <w:sz w:val="28"/>
          <w:szCs w:val="28"/>
        </w:rPr>
        <w:t>Байкалруда</w:t>
      </w:r>
      <w:proofErr w:type="spellEnd"/>
      <w:r w:rsidRPr="00CF4586">
        <w:rPr>
          <w:sz w:val="28"/>
          <w:szCs w:val="28"/>
        </w:rPr>
        <w:t xml:space="preserve">» – крупнейшее предприятие, занимающееся добычей тальковой руды. Добыча угля представлена предприятием ООО «Разрез </w:t>
      </w:r>
      <w:proofErr w:type="spellStart"/>
      <w:r w:rsidRPr="00CF4586">
        <w:rPr>
          <w:sz w:val="28"/>
          <w:szCs w:val="28"/>
        </w:rPr>
        <w:t>Ныгдинский</w:t>
      </w:r>
      <w:proofErr w:type="spellEnd"/>
      <w:r w:rsidRPr="00CF4586">
        <w:rPr>
          <w:sz w:val="28"/>
          <w:szCs w:val="28"/>
        </w:rPr>
        <w:t>», реализующим на территории Черемховского района инвестицио</w:t>
      </w:r>
      <w:r w:rsidRPr="00CF4586">
        <w:rPr>
          <w:sz w:val="28"/>
          <w:szCs w:val="28"/>
        </w:rPr>
        <w:t>н</w:t>
      </w:r>
      <w:r w:rsidRPr="00CF4586">
        <w:rPr>
          <w:sz w:val="28"/>
          <w:szCs w:val="28"/>
        </w:rPr>
        <w:t>ный проект по освоению угольного месторождения. Основополагающим пре</w:t>
      </w:r>
      <w:r w:rsidRPr="00CF4586">
        <w:rPr>
          <w:sz w:val="28"/>
          <w:szCs w:val="28"/>
        </w:rPr>
        <w:t>д</w:t>
      </w:r>
      <w:r w:rsidRPr="00CF4586">
        <w:rPr>
          <w:sz w:val="28"/>
          <w:szCs w:val="28"/>
        </w:rPr>
        <w:t>приятием сферы «обрабатывающие производства» является ООО «Байкальские минералы», занимающееся производством талька молотого и гранулированного.</w:t>
      </w:r>
    </w:p>
    <w:p w:rsidR="00006635" w:rsidRPr="009332E9" w:rsidRDefault="00F60C03" w:rsidP="0002132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006635" w:rsidRPr="009332E9" w:rsidRDefault="00006635" w:rsidP="00021324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9332E9">
        <w:rPr>
          <w:sz w:val="28"/>
          <w:szCs w:val="28"/>
        </w:rPr>
        <w:t>Для Черемховского района сельское хозяйство является приоритетной отраслью, функционирование которой оказывает существенное влияние не только на деятельность сельскохозяйственных организаций и крестьянско-фермерских хозяйств, но и на экономику в целом.</w:t>
      </w:r>
    </w:p>
    <w:p w:rsidR="003B0DFE" w:rsidRDefault="00006635" w:rsidP="00021324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9332E9">
        <w:rPr>
          <w:sz w:val="28"/>
          <w:szCs w:val="28"/>
        </w:rPr>
        <w:t>Основу данного сегмента экономики составляют два обособленных подразделения СХ ПАО «</w:t>
      </w:r>
      <w:proofErr w:type="spellStart"/>
      <w:r w:rsidRPr="009332E9">
        <w:rPr>
          <w:sz w:val="28"/>
          <w:szCs w:val="28"/>
        </w:rPr>
        <w:t>Белореченское</w:t>
      </w:r>
      <w:proofErr w:type="spellEnd"/>
      <w:r w:rsidRPr="009332E9">
        <w:rPr>
          <w:sz w:val="28"/>
          <w:szCs w:val="28"/>
        </w:rPr>
        <w:t>»: ОПХ «Сибирь» и ОПХ «Петровское», а также ООО «</w:t>
      </w:r>
      <w:proofErr w:type="spellStart"/>
      <w:r w:rsidRPr="009332E9">
        <w:rPr>
          <w:sz w:val="28"/>
          <w:szCs w:val="28"/>
        </w:rPr>
        <w:t>Новогромовское</w:t>
      </w:r>
      <w:proofErr w:type="spellEnd"/>
      <w:r w:rsidRPr="009332E9">
        <w:rPr>
          <w:sz w:val="28"/>
          <w:szCs w:val="28"/>
        </w:rPr>
        <w:t>», ООО «</w:t>
      </w:r>
      <w:proofErr w:type="spellStart"/>
      <w:r w:rsidRPr="009332E9">
        <w:rPr>
          <w:sz w:val="28"/>
          <w:szCs w:val="28"/>
        </w:rPr>
        <w:t>Агро</w:t>
      </w:r>
      <w:proofErr w:type="spellEnd"/>
      <w:r w:rsidRPr="009332E9">
        <w:rPr>
          <w:sz w:val="28"/>
          <w:szCs w:val="28"/>
        </w:rPr>
        <w:t xml:space="preserve"> Ф». Кроме того, осуществляют деятельность крестьянские (фермерские) хозяйства.</w:t>
      </w:r>
    </w:p>
    <w:p w:rsidR="00C61024" w:rsidRDefault="00006635" w:rsidP="00021324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9332E9">
        <w:rPr>
          <w:sz w:val="28"/>
          <w:szCs w:val="28"/>
        </w:rPr>
        <w:t>Валовый</w:t>
      </w:r>
      <w:proofErr w:type="spellEnd"/>
      <w:r w:rsidRPr="009332E9">
        <w:rPr>
          <w:sz w:val="28"/>
          <w:szCs w:val="28"/>
        </w:rPr>
        <w:t xml:space="preserve"> выпуск продукции в сельскох</w:t>
      </w:r>
      <w:r w:rsidR="00021324">
        <w:rPr>
          <w:sz w:val="28"/>
          <w:szCs w:val="28"/>
        </w:rPr>
        <w:t>озяйственных организациях в 2018</w:t>
      </w:r>
      <w:r w:rsidRPr="009332E9">
        <w:rPr>
          <w:sz w:val="28"/>
          <w:szCs w:val="28"/>
        </w:rPr>
        <w:t xml:space="preserve"> году составил </w:t>
      </w:r>
      <w:r w:rsidR="003B0DFE">
        <w:rPr>
          <w:sz w:val="28"/>
          <w:szCs w:val="28"/>
        </w:rPr>
        <w:t>2</w:t>
      </w:r>
      <w:r w:rsidR="003B0DFE" w:rsidRPr="00A56892">
        <w:rPr>
          <w:sz w:val="28"/>
          <w:szCs w:val="28"/>
        </w:rPr>
        <w:t> </w:t>
      </w:r>
      <w:r w:rsidR="00021324">
        <w:rPr>
          <w:sz w:val="28"/>
          <w:szCs w:val="28"/>
        </w:rPr>
        <w:t>112</w:t>
      </w:r>
      <w:r w:rsidR="003B0DFE" w:rsidRPr="00A56892">
        <w:rPr>
          <w:sz w:val="28"/>
          <w:szCs w:val="28"/>
        </w:rPr>
        <w:t>,</w:t>
      </w:r>
      <w:r w:rsidR="00021324">
        <w:rPr>
          <w:sz w:val="28"/>
          <w:szCs w:val="28"/>
        </w:rPr>
        <w:t>345</w:t>
      </w:r>
      <w:r w:rsidR="003B0DFE" w:rsidRPr="00A56892">
        <w:rPr>
          <w:sz w:val="28"/>
          <w:szCs w:val="28"/>
        </w:rPr>
        <w:t xml:space="preserve"> </w:t>
      </w:r>
      <w:proofErr w:type="spellStart"/>
      <w:proofErr w:type="gramStart"/>
      <w:r w:rsidR="003B0DFE" w:rsidRPr="00A56892">
        <w:rPr>
          <w:sz w:val="28"/>
          <w:szCs w:val="28"/>
        </w:rPr>
        <w:t>млн</w:t>
      </w:r>
      <w:proofErr w:type="spellEnd"/>
      <w:proofErr w:type="gramEnd"/>
      <w:r w:rsidR="003B0DFE" w:rsidRPr="00A56892">
        <w:rPr>
          <w:sz w:val="28"/>
          <w:szCs w:val="28"/>
        </w:rPr>
        <w:t xml:space="preserve"> руб. или </w:t>
      </w:r>
      <w:r w:rsidR="00021324">
        <w:rPr>
          <w:sz w:val="28"/>
          <w:szCs w:val="28"/>
        </w:rPr>
        <w:t>94,2</w:t>
      </w:r>
      <w:r w:rsidR="003B0DFE" w:rsidRPr="00A56892">
        <w:rPr>
          <w:sz w:val="28"/>
          <w:szCs w:val="28"/>
        </w:rPr>
        <w:t>% к уровню прошлого года.</w:t>
      </w:r>
    </w:p>
    <w:p w:rsidR="00C61024" w:rsidRPr="00A56892" w:rsidRDefault="00C61024" w:rsidP="00021324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56892">
        <w:rPr>
          <w:sz w:val="28"/>
          <w:szCs w:val="28"/>
        </w:rPr>
        <w:t xml:space="preserve">ндекс производства продукции в </w:t>
      </w:r>
      <w:proofErr w:type="spellStart"/>
      <w:r w:rsidRPr="00A56892">
        <w:rPr>
          <w:sz w:val="28"/>
          <w:szCs w:val="28"/>
        </w:rPr>
        <w:t>сельхозорганизациях</w:t>
      </w:r>
      <w:proofErr w:type="spellEnd"/>
      <w:r w:rsidRPr="00A56892">
        <w:rPr>
          <w:sz w:val="28"/>
          <w:szCs w:val="28"/>
        </w:rPr>
        <w:t xml:space="preserve"> – </w:t>
      </w:r>
      <w:r w:rsidR="00021324">
        <w:rPr>
          <w:sz w:val="28"/>
          <w:szCs w:val="28"/>
        </w:rPr>
        <w:t>96,1</w:t>
      </w:r>
      <w:r w:rsidRPr="00A56892">
        <w:rPr>
          <w:sz w:val="28"/>
          <w:szCs w:val="28"/>
        </w:rPr>
        <w:t>%.</w:t>
      </w:r>
    </w:p>
    <w:p w:rsidR="003B0DFE" w:rsidRPr="00A56892" w:rsidRDefault="003B0DFE" w:rsidP="000213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892">
        <w:rPr>
          <w:rFonts w:ascii="Times New Roman" w:hAnsi="Times New Roman" w:cs="Times New Roman"/>
          <w:sz w:val="28"/>
          <w:szCs w:val="28"/>
        </w:rPr>
        <w:t>За отчетный период произведено:</w:t>
      </w:r>
    </w:p>
    <w:p w:rsidR="00021324" w:rsidRDefault="00021324" w:rsidP="000213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зерно – 118 900 т (86,2% к уровню прошлого года);</w:t>
      </w:r>
    </w:p>
    <w:p w:rsidR="00021324" w:rsidRDefault="00021324" w:rsidP="000213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картофель – 7 544 т (116,9</w:t>
      </w:r>
      <w:r w:rsidRPr="00A56892">
        <w:rPr>
          <w:rFonts w:ascii="Times New Roman" w:hAnsi="Times New Roman" w:cs="Times New Roman"/>
          <w:sz w:val="28"/>
          <w:szCs w:val="28"/>
        </w:rPr>
        <w:t>% к уровню прошлого года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21324" w:rsidRDefault="00021324" w:rsidP="000213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 – 3 689 т (115,7</w:t>
      </w:r>
      <w:r w:rsidRPr="00A56892">
        <w:rPr>
          <w:rFonts w:ascii="Times New Roman" w:hAnsi="Times New Roman" w:cs="Times New Roman"/>
          <w:sz w:val="28"/>
          <w:szCs w:val="28"/>
        </w:rPr>
        <w:t>% к уровню прошлого года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21324" w:rsidRPr="00A56892" w:rsidRDefault="00021324" w:rsidP="000213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892">
        <w:rPr>
          <w:rFonts w:ascii="Times New Roman" w:hAnsi="Times New Roman" w:cs="Times New Roman"/>
          <w:sz w:val="28"/>
          <w:szCs w:val="28"/>
        </w:rPr>
        <w:t xml:space="preserve">мясо – </w:t>
      </w:r>
      <w:r>
        <w:rPr>
          <w:rFonts w:ascii="Times New Roman" w:hAnsi="Times New Roman" w:cs="Times New Roman"/>
          <w:sz w:val="28"/>
          <w:szCs w:val="28"/>
        </w:rPr>
        <w:t>2 483</w:t>
      </w:r>
      <w:r w:rsidRPr="00A56892">
        <w:rPr>
          <w:rFonts w:ascii="Times New Roman" w:hAnsi="Times New Roman" w:cs="Times New Roman"/>
          <w:sz w:val="28"/>
          <w:szCs w:val="28"/>
        </w:rPr>
        <w:t xml:space="preserve"> т (</w:t>
      </w:r>
      <w:r>
        <w:rPr>
          <w:rFonts w:ascii="Times New Roman" w:hAnsi="Times New Roman" w:cs="Times New Roman"/>
          <w:sz w:val="28"/>
          <w:szCs w:val="28"/>
        </w:rPr>
        <w:t>95,6</w:t>
      </w:r>
      <w:r w:rsidRPr="00A56892">
        <w:rPr>
          <w:rFonts w:ascii="Times New Roman" w:hAnsi="Times New Roman" w:cs="Times New Roman"/>
          <w:sz w:val="28"/>
          <w:szCs w:val="28"/>
        </w:rPr>
        <w:t>% к уровню прошлого года);</w:t>
      </w:r>
    </w:p>
    <w:p w:rsidR="00021324" w:rsidRPr="00A56892" w:rsidRDefault="00021324" w:rsidP="000213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892">
        <w:rPr>
          <w:rFonts w:ascii="Times New Roman" w:hAnsi="Times New Roman" w:cs="Times New Roman"/>
          <w:sz w:val="28"/>
          <w:szCs w:val="28"/>
        </w:rPr>
        <w:t xml:space="preserve">молоко –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A5689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836</w:t>
      </w:r>
      <w:r w:rsidRPr="00A56892">
        <w:rPr>
          <w:rFonts w:ascii="Times New Roman" w:hAnsi="Times New Roman" w:cs="Times New Roman"/>
          <w:sz w:val="28"/>
          <w:szCs w:val="28"/>
        </w:rPr>
        <w:t xml:space="preserve"> т (</w:t>
      </w:r>
      <w:r>
        <w:rPr>
          <w:rFonts w:ascii="Times New Roman" w:hAnsi="Times New Roman" w:cs="Times New Roman"/>
          <w:sz w:val="28"/>
          <w:szCs w:val="28"/>
        </w:rPr>
        <w:t xml:space="preserve">103,3 </w:t>
      </w:r>
      <w:r w:rsidRPr="00A56892">
        <w:rPr>
          <w:rFonts w:ascii="Times New Roman" w:hAnsi="Times New Roman" w:cs="Times New Roman"/>
          <w:sz w:val="28"/>
          <w:szCs w:val="28"/>
        </w:rPr>
        <w:t>% к уровню прошлого года).</w:t>
      </w:r>
    </w:p>
    <w:p w:rsidR="003B5205" w:rsidRPr="003B5205" w:rsidRDefault="003B5205" w:rsidP="0002132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2745">
        <w:rPr>
          <w:rFonts w:ascii="Times New Roman" w:hAnsi="Times New Roman" w:cs="Times New Roman"/>
          <w:b/>
          <w:sz w:val="28"/>
          <w:szCs w:val="28"/>
        </w:rPr>
        <w:t>Малый бизнес</w:t>
      </w:r>
    </w:p>
    <w:p w:rsidR="00021324" w:rsidRPr="007E2745" w:rsidRDefault="00021324" w:rsidP="000213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2745">
        <w:rPr>
          <w:rFonts w:ascii="Times New Roman" w:hAnsi="Times New Roman"/>
          <w:sz w:val="28"/>
          <w:szCs w:val="28"/>
        </w:rPr>
        <w:t xml:space="preserve">По данным ФНС России на </w:t>
      </w:r>
      <w:r>
        <w:rPr>
          <w:rFonts w:ascii="Times New Roman" w:hAnsi="Times New Roman"/>
          <w:sz w:val="28"/>
          <w:szCs w:val="28"/>
        </w:rPr>
        <w:t>01</w:t>
      </w:r>
      <w:r w:rsidRPr="007E27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7E2745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019</w:t>
      </w:r>
      <w:r w:rsidRPr="007E2745">
        <w:rPr>
          <w:rFonts w:ascii="Times New Roman" w:hAnsi="Times New Roman"/>
          <w:sz w:val="28"/>
          <w:szCs w:val="28"/>
        </w:rPr>
        <w:t xml:space="preserve"> на территории района зарегистрировано 4</w:t>
      </w:r>
      <w:r>
        <w:rPr>
          <w:rFonts w:ascii="Times New Roman" w:hAnsi="Times New Roman"/>
          <w:sz w:val="28"/>
          <w:szCs w:val="28"/>
        </w:rPr>
        <w:t>35 предприятий</w:t>
      </w:r>
      <w:r w:rsidRPr="007E2745">
        <w:rPr>
          <w:rFonts w:ascii="Times New Roman" w:hAnsi="Times New Roman"/>
          <w:sz w:val="28"/>
          <w:szCs w:val="28"/>
        </w:rPr>
        <w:t xml:space="preserve"> малого бизнеса, в том числе </w:t>
      </w:r>
      <w:r>
        <w:rPr>
          <w:rFonts w:ascii="Times New Roman" w:hAnsi="Times New Roman"/>
          <w:sz w:val="28"/>
          <w:szCs w:val="28"/>
        </w:rPr>
        <w:t>337</w:t>
      </w:r>
      <w:r w:rsidRPr="007E2745">
        <w:rPr>
          <w:rFonts w:ascii="Times New Roman" w:hAnsi="Times New Roman"/>
          <w:sz w:val="28"/>
          <w:szCs w:val="28"/>
        </w:rPr>
        <w:t xml:space="preserve"> ИП </w:t>
      </w:r>
      <w:r>
        <w:rPr>
          <w:rFonts w:ascii="Times New Roman" w:hAnsi="Times New Roman"/>
          <w:sz w:val="28"/>
          <w:szCs w:val="28"/>
        </w:rPr>
        <w:t>98</w:t>
      </w:r>
      <w:r w:rsidRPr="007E2745">
        <w:rPr>
          <w:rFonts w:ascii="Times New Roman" w:hAnsi="Times New Roman"/>
          <w:sz w:val="28"/>
          <w:szCs w:val="28"/>
        </w:rPr>
        <w:t xml:space="preserve"> юридических лиц.</w:t>
      </w:r>
    </w:p>
    <w:p w:rsidR="00021324" w:rsidRDefault="00021324" w:rsidP="000213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745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2018 год</w:t>
      </w:r>
      <w:r w:rsidRPr="007E2745">
        <w:rPr>
          <w:rFonts w:ascii="Times New Roman" w:hAnsi="Times New Roman" w:cs="Times New Roman"/>
          <w:sz w:val="28"/>
          <w:szCs w:val="28"/>
        </w:rPr>
        <w:t xml:space="preserve"> выручка от реализации продукции субъектов малого предпринимательства составила </w:t>
      </w:r>
      <w:r>
        <w:rPr>
          <w:rFonts w:ascii="Times New Roman" w:hAnsi="Times New Roman" w:cs="Times New Roman"/>
          <w:sz w:val="28"/>
          <w:szCs w:val="28"/>
        </w:rPr>
        <w:t xml:space="preserve">1 021,429 </w:t>
      </w:r>
      <w:proofErr w:type="spellStart"/>
      <w:proofErr w:type="gramStart"/>
      <w:r w:rsidRPr="007E2745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7E2745">
        <w:rPr>
          <w:rFonts w:ascii="Times New Roman" w:hAnsi="Times New Roman" w:cs="Times New Roman"/>
          <w:sz w:val="28"/>
          <w:szCs w:val="28"/>
        </w:rPr>
        <w:t xml:space="preserve"> руб. или </w:t>
      </w:r>
      <w:r>
        <w:rPr>
          <w:rFonts w:ascii="Times New Roman" w:hAnsi="Times New Roman" w:cs="Times New Roman"/>
          <w:sz w:val="28"/>
          <w:szCs w:val="28"/>
        </w:rPr>
        <w:t>27,1</w:t>
      </w:r>
      <w:r w:rsidRPr="007E2745">
        <w:rPr>
          <w:rFonts w:ascii="Times New Roman" w:hAnsi="Times New Roman" w:cs="Times New Roman"/>
          <w:sz w:val="28"/>
          <w:szCs w:val="28"/>
        </w:rPr>
        <w:t xml:space="preserve">% от выручки в </w:t>
      </w:r>
      <w:r w:rsidRPr="007E2745">
        <w:rPr>
          <w:rFonts w:ascii="Times New Roman" w:hAnsi="Times New Roman" w:cs="Times New Roman"/>
          <w:sz w:val="28"/>
          <w:szCs w:val="28"/>
        </w:rPr>
        <w:lastRenderedPageBreak/>
        <w:t xml:space="preserve">целом по району. В </w:t>
      </w:r>
      <w:r>
        <w:rPr>
          <w:rFonts w:ascii="Times New Roman" w:hAnsi="Times New Roman" w:cs="Times New Roman"/>
          <w:sz w:val="28"/>
          <w:szCs w:val="28"/>
        </w:rPr>
        <w:t>2017 году</w:t>
      </w:r>
      <w:r w:rsidRPr="007E2745">
        <w:rPr>
          <w:rFonts w:ascii="Times New Roman" w:hAnsi="Times New Roman" w:cs="Times New Roman"/>
          <w:sz w:val="28"/>
          <w:szCs w:val="28"/>
        </w:rPr>
        <w:t xml:space="preserve"> удельный вес выручки предприятий малого бизнеса в выручке </w:t>
      </w:r>
      <w:r>
        <w:rPr>
          <w:rFonts w:ascii="Times New Roman" w:hAnsi="Times New Roman" w:cs="Times New Roman"/>
          <w:sz w:val="28"/>
          <w:szCs w:val="28"/>
        </w:rPr>
        <w:t xml:space="preserve">районных предприятий </w:t>
      </w:r>
      <w:r w:rsidRPr="007E2745">
        <w:rPr>
          <w:rFonts w:ascii="Times New Roman" w:hAnsi="Times New Roman" w:cs="Times New Roman"/>
          <w:sz w:val="28"/>
          <w:szCs w:val="28"/>
        </w:rPr>
        <w:t xml:space="preserve">составлял </w:t>
      </w:r>
      <w:r>
        <w:rPr>
          <w:rFonts w:ascii="Times New Roman" w:hAnsi="Times New Roman" w:cs="Times New Roman"/>
          <w:sz w:val="28"/>
          <w:szCs w:val="28"/>
        </w:rPr>
        <w:t>24,8%.</w:t>
      </w:r>
    </w:p>
    <w:p w:rsidR="00021324" w:rsidRPr="007E2745" w:rsidRDefault="00021324" w:rsidP="000213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занятых на малых предприятиях в общей численности занятых в экономике составляет 32,5%.</w:t>
      </w:r>
    </w:p>
    <w:p w:rsidR="003B5205" w:rsidRDefault="003B5205" w:rsidP="0002132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235F"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021324" w:rsidRDefault="00021324" w:rsidP="000213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</w:t>
      </w:r>
      <w:r w:rsidRPr="0015235F">
        <w:rPr>
          <w:rFonts w:ascii="Times New Roman" w:hAnsi="Times New Roman" w:cs="Times New Roman"/>
          <w:sz w:val="28"/>
          <w:szCs w:val="28"/>
        </w:rPr>
        <w:t xml:space="preserve"> функционирует развитая сеть торговых предприятий, организаций общественного питания и бытового обслуживания населения, охватывающая даже самые отдаленные населенные пункты.</w:t>
      </w:r>
    </w:p>
    <w:p w:rsidR="00021324" w:rsidRDefault="00021324" w:rsidP="000213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322">
        <w:rPr>
          <w:rFonts w:ascii="Times New Roman" w:eastAsia="Calibri" w:hAnsi="Times New Roman" w:cs="Times New Roman"/>
          <w:sz w:val="28"/>
          <w:szCs w:val="28"/>
        </w:rPr>
        <w:t>Торговых площадей на территории района – 12</w:t>
      </w:r>
      <w:r>
        <w:rPr>
          <w:rFonts w:ascii="Times New Roman" w:eastAsia="Calibri" w:hAnsi="Times New Roman" w:cs="Times New Roman"/>
          <w:sz w:val="28"/>
          <w:szCs w:val="28"/>
        </w:rPr>
        <w:t> 109</w:t>
      </w:r>
      <w:r w:rsidRPr="00241322">
        <w:rPr>
          <w:rFonts w:ascii="Times New Roman" w:eastAsia="Calibri" w:hAnsi="Times New Roman" w:cs="Times New Roman"/>
          <w:sz w:val="28"/>
          <w:szCs w:val="28"/>
        </w:rPr>
        <w:t>,5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кв.м</w:t>
      </w:r>
      <w:r>
        <w:rPr>
          <w:rFonts w:ascii="Calibri" w:eastAsia="Calibri" w:hAnsi="Calibri" w:cs="Times New Roman"/>
          <w:sz w:val="28"/>
          <w:szCs w:val="28"/>
        </w:rPr>
        <w:t xml:space="preserve">. </w:t>
      </w:r>
      <w:r w:rsidRPr="0015235F">
        <w:rPr>
          <w:rFonts w:ascii="Times New Roman" w:hAnsi="Times New Roman" w:cs="Times New Roman"/>
          <w:sz w:val="28"/>
          <w:szCs w:val="28"/>
        </w:rPr>
        <w:t>Обеспеченность населения торговыми площадя</w:t>
      </w:r>
      <w:r>
        <w:rPr>
          <w:rFonts w:ascii="Times New Roman" w:hAnsi="Times New Roman" w:cs="Times New Roman"/>
          <w:sz w:val="28"/>
          <w:szCs w:val="28"/>
        </w:rPr>
        <w:t xml:space="preserve">ми составляет </w:t>
      </w:r>
      <w:r w:rsidRPr="001523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25,4 кв.м. на </w:t>
      </w:r>
      <w:r w:rsidRPr="0015235F">
        <w:rPr>
          <w:rFonts w:ascii="Times New Roman" w:hAnsi="Times New Roman" w:cs="Times New Roman"/>
          <w:sz w:val="28"/>
          <w:szCs w:val="28"/>
        </w:rPr>
        <w:t>1000 жителей.</w:t>
      </w:r>
    </w:p>
    <w:p w:rsidR="00021324" w:rsidRPr="00241322" w:rsidRDefault="00021324" w:rsidP="0002132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322">
        <w:rPr>
          <w:rFonts w:ascii="Times New Roman" w:eastAsia="Calibri" w:hAnsi="Times New Roman" w:cs="Times New Roman"/>
          <w:sz w:val="28"/>
          <w:szCs w:val="28"/>
        </w:rPr>
        <w:t>Товаропроводящая сеть в Черемховском районе включает:</w:t>
      </w:r>
    </w:p>
    <w:p w:rsidR="00021324" w:rsidRPr="00241322" w:rsidRDefault="00021324" w:rsidP="00021324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18</w:t>
      </w:r>
      <w:r w:rsidRPr="00241322">
        <w:rPr>
          <w:rFonts w:eastAsia="Calibri"/>
          <w:sz w:val="28"/>
          <w:szCs w:val="28"/>
        </w:rPr>
        <w:t>0 магазинов</w:t>
      </w:r>
      <w:r>
        <w:rPr>
          <w:rFonts w:eastAsia="Calibri"/>
          <w:sz w:val="28"/>
          <w:szCs w:val="28"/>
        </w:rPr>
        <w:t xml:space="preserve"> (31 </w:t>
      </w:r>
      <w:proofErr w:type="gramStart"/>
      <w:r>
        <w:rPr>
          <w:rFonts w:eastAsia="Calibri"/>
          <w:sz w:val="28"/>
          <w:szCs w:val="28"/>
        </w:rPr>
        <w:t>продовольственный</w:t>
      </w:r>
      <w:proofErr w:type="gramEnd"/>
      <w:r>
        <w:rPr>
          <w:rFonts w:eastAsia="Calibri"/>
          <w:sz w:val="28"/>
          <w:szCs w:val="28"/>
        </w:rPr>
        <w:t>, 29 непродовольственных, 120</w:t>
      </w:r>
      <w:r w:rsidRPr="00241322">
        <w:rPr>
          <w:rFonts w:eastAsia="Calibri"/>
          <w:sz w:val="28"/>
          <w:szCs w:val="28"/>
        </w:rPr>
        <w:t xml:space="preserve"> универсальных);</w:t>
      </w:r>
    </w:p>
    <w:p w:rsidR="00021324" w:rsidRPr="00241322" w:rsidRDefault="00021324" w:rsidP="00021324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241322">
        <w:rPr>
          <w:rFonts w:eastAsia="Calibri"/>
          <w:sz w:val="28"/>
          <w:szCs w:val="28"/>
        </w:rPr>
        <w:t>11 торговых центров (торговых домов, комплексов);</w:t>
      </w:r>
    </w:p>
    <w:p w:rsidR="00021324" w:rsidRPr="00241322" w:rsidRDefault="00021324" w:rsidP="00021324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Pr="00241322">
        <w:rPr>
          <w:rFonts w:eastAsia="Calibri"/>
          <w:sz w:val="28"/>
          <w:szCs w:val="28"/>
        </w:rPr>
        <w:t xml:space="preserve"> павильонов;</w:t>
      </w:r>
    </w:p>
    <w:p w:rsidR="00021324" w:rsidRPr="00241322" w:rsidRDefault="00021324" w:rsidP="00021324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1322">
        <w:rPr>
          <w:rFonts w:eastAsia="Calibri"/>
          <w:sz w:val="28"/>
          <w:szCs w:val="28"/>
        </w:rPr>
        <w:t>2 объекта мобильной торговли.</w:t>
      </w:r>
    </w:p>
    <w:p w:rsidR="00021324" w:rsidRPr="0095754A" w:rsidRDefault="00021324" w:rsidP="000213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54A">
        <w:rPr>
          <w:rFonts w:ascii="Times New Roman" w:hAnsi="Times New Roman" w:cs="Times New Roman"/>
          <w:sz w:val="28"/>
          <w:szCs w:val="28"/>
        </w:rPr>
        <w:t>Оборот розничной торговли в отчетном периоде составил 1 676,61 </w:t>
      </w:r>
      <w:proofErr w:type="spellStart"/>
      <w:proofErr w:type="gramStart"/>
      <w:r w:rsidRPr="0095754A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95754A">
        <w:rPr>
          <w:rFonts w:ascii="Times New Roman" w:hAnsi="Times New Roman" w:cs="Times New Roman"/>
          <w:sz w:val="28"/>
          <w:szCs w:val="28"/>
        </w:rPr>
        <w:t> руб. или 105,1% по отношению к прошлому году.</w:t>
      </w:r>
    </w:p>
    <w:p w:rsidR="00021324" w:rsidRDefault="00021324" w:rsidP="000213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72C">
        <w:rPr>
          <w:rFonts w:ascii="Times New Roman" w:eastAsia="Calibri" w:hAnsi="Times New Roman" w:cs="Times New Roman"/>
          <w:sz w:val="28"/>
          <w:szCs w:val="28"/>
        </w:rPr>
        <w:t xml:space="preserve">Несмотря на высокую насыщенность товарами и услугами, наблюдаются тенденции сокращения количества торговых организаций и, как следствие, торговых площадей. Доля сферы торговли в общем объеме отгруженных товаров, </w:t>
      </w:r>
      <w:r>
        <w:rPr>
          <w:rFonts w:ascii="Times New Roman" w:hAnsi="Times New Roman" w:cs="Times New Roman"/>
          <w:sz w:val="28"/>
          <w:szCs w:val="28"/>
        </w:rPr>
        <w:t>выполненных работ и услуг в 2018</w:t>
      </w:r>
      <w:r w:rsidRPr="0065272C">
        <w:rPr>
          <w:rFonts w:ascii="Times New Roman" w:eastAsia="Calibri" w:hAnsi="Times New Roman" w:cs="Times New Roman"/>
          <w:sz w:val="28"/>
          <w:szCs w:val="28"/>
        </w:rPr>
        <w:t xml:space="preserve"> году снизилась </w:t>
      </w:r>
      <w:r>
        <w:rPr>
          <w:rFonts w:ascii="Times New Roman" w:hAnsi="Times New Roman" w:cs="Times New Roman"/>
          <w:sz w:val="28"/>
          <w:szCs w:val="28"/>
        </w:rPr>
        <w:t xml:space="preserve">на 11,384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руб. </w:t>
      </w:r>
      <w:r w:rsidRPr="0065272C">
        <w:rPr>
          <w:rFonts w:ascii="Times New Roman" w:eastAsia="Calibri" w:hAnsi="Times New Roman" w:cs="Times New Roman"/>
          <w:sz w:val="28"/>
          <w:szCs w:val="28"/>
        </w:rPr>
        <w:t xml:space="preserve">и составила </w:t>
      </w:r>
      <w:r>
        <w:rPr>
          <w:rFonts w:ascii="Times New Roman" w:hAnsi="Times New Roman" w:cs="Times New Roman"/>
          <w:sz w:val="28"/>
          <w:szCs w:val="28"/>
        </w:rPr>
        <w:t>2,7</w:t>
      </w:r>
      <w:r w:rsidRPr="0065272C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8F0" w:rsidRPr="00413FC4" w:rsidRDefault="009168F0" w:rsidP="00021324">
      <w:pPr>
        <w:tabs>
          <w:tab w:val="left" w:pos="1276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FC4"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021324" w:rsidRPr="00413FC4" w:rsidRDefault="00021324" w:rsidP="00021324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3FC4">
        <w:rPr>
          <w:rFonts w:ascii="Times New Roman" w:hAnsi="Times New Roman" w:cs="Times New Roman"/>
          <w:sz w:val="28"/>
          <w:szCs w:val="28"/>
        </w:rPr>
        <w:t>Сфера здравоохранения района включает 3 участковые больницы (р.п.</w:t>
      </w:r>
      <w:proofErr w:type="gramEnd"/>
      <w:r w:rsidRPr="00413FC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13FC4">
        <w:rPr>
          <w:rFonts w:ascii="Times New Roman" w:hAnsi="Times New Roman" w:cs="Times New Roman"/>
          <w:sz w:val="28"/>
          <w:szCs w:val="28"/>
        </w:rPr>
        <w:t xml:space="preserve">Михайловка, с. Голуметь, с. Парфеново), 3 амбулатории (с. </w:t>
      </w:r>
      <w:proofErr w:type="spellStart"/>
      <w:r w:rsidRPr="00413FC4">
        <w:rPr>
          <w:rFonts w:ascii="Times New Roman" w:hAnsi="Times New Roman" w:cs="Times New Roman"/>
          <w:sz w:val="28"/>
          <w:szCs w:val="28"/>
        </w:rPr>
        <w:t>Алехино</w:t>
      </w:r>
      <w:proofErr w:type="spellEnd"/>
      <w:r w:rsidRPr="00413FC4">
        <w:rPr>
          <w:rFonts w:ascii="Times New Roman" w:hAnsi="Times New Roman" w:cs="Times New Roman"/>
          <w:sz w:val="28"/>
          <w:szCs w:val="28"/>
        </w:rPr>
        <w:t>, с. </w:t>
      </w:r>
      <w:proofErr w:type="spellStart"/>
      <w:r w:rsidRPr="00413FC4">
        <w:rPr>
          <w:rFonts w:ascii="Times New Roman" w:hAnsi="Times New Roman" w:cs="Times New Roman"/>
          <w:sz w:val="28"/>
          <w:szCs w:val="28"/>
        </w:rPr>
        <w:t>Рысево</w:t>
      </w:r>
      <w:proofErr w:type="spellEnd"/>
      <w:r w:rsidRPr="00413FC4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413FC4">
        <w:rPr>
          <w:rFonts w:ascii="Times New Roman" w:hAnsi="Times New Roman" w:cs="Times New Roman"/>
          <w:sz w:val="28"/>
          <w:szCs w:val="28"/>
        </w:rPr>
        <w:t>Бельск</w:t>
      </w:r>
      <w:proofErr w:type="spellEnd"/>
      <w:r w:rsidRPr="00413FC4">
        <w:rPr>
          <w:rFonts w:ascii="Times New Roman" w:hAnsi="Times New Roman" w:cs="Times New Roman"/>
          <w:sz w:val="28"/>
          <w:szCs w:val="28"/>
        </w:rPr>
        <w:t>) и 37 фельдшерско-акушерских пунктов.</w:t>
      </w:r>
      <w:proofErr w:type="gramEnd"/>
    </w:p>
    <w:p w:rsidR="00021324" w:rsidRPr="00413FC4" w:rsidRDefault="00021324" w:rsidP="00021324">
      <w:pPr>
        <w:pStyle w:val="a5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13FC4">
        <w:rPr>
          <w:sz w:val="28"/>
          <w:szCs w:val="28"/>
        </w:rPr>
        <w:t xml:space="preserve">В сфере здравоохранения работают </w:t>
      </w:r>
      <w:r>
        <w:rPr>
          <w:sz w:val="28"/>
          <w:szCs w:val="28"/>
        </w:rPr>
        <w:t>369</w:t>
      </w:r>
      <w:r w:rsidRPr="00413FC4">
        <w:rPr>
          <w:sz w:val="28"/>
          <w:szCs w:val="28"/>
        </w:rPr>
        <w:t xml:space="preserve"> человек. Средняя заработная плата по учреждениям здравоохранения за </w:t>
      </w:r>
      <w:r>
        <w:rPr>
          <w:sz w:val="28"/>
          <w:szCs w:val="28"/>
        </w:rPr>
        <w:t>2018</w:t>
      </w:r>
      <w:r w:rsidRPr="00413FC4">
        <w:rPr>
          <w:sz w:val="28"/>
          <w:szCs w:val="28"/>
        </w:rPr>
        <w:t xml:space="preserve"> год составила </w:t>
      </w:r>
      <w:r>
        <w:rPr>
          <w:sz w:val="28"/>
          <w:szCs w:val="28"/>
        </w:rPr>
        <w:t>31 807 руб.</w:t>
      </w:r>
    </w:p>
    <w:p w:rsidR="00021324" w:rsidRPr="00C74C56" w:rsidRDefault="00021324" w:rsidP="00021324">
      <w:pPr>
        <w:pStyle w:val="a5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13FC4">
        <w:rPr>
          <w:sz w:val="28"/>
          <w:szCs w:val="28"/>
        </w:rPr>
        <w:t>Система образования района включает 51 образовательную организацию, в том числе 27 дошкольных организаций, 1 школу-сад, 2 организации дополнительного образования детей, 21 общеобразовательную школу с 18 структурными подразделениями.</w:t>
      </w:r>
    </w:p>
    <w:p w:rsidR="00021324" w:rsidRDefault="00021324" w:rsidP="00021324">
      <w:pPr>
        <w:spacing w:after="0"/>
        <w:ind w:firstLine="709"/>
        <w:jc w:val="both"/>
      </w:pPr>
      <w:r w:rsidRPr="00413FC4">
        <w:rPr>
          <w:rFonts w:ascii="Times New Roman" w:hAnsi="Times New Roman" w:cs="Times New Roman"/>
          <w:sz w:val="28"/>
          <w:szCs w:val="28"/>
        </w:rPr>
        <w:t>Трудовую деятельность в сфере образования осуществляют 1</w:t>
      </w:r>
      <w:r>
        <w:rPr>
          <w:rFonts w:ascii="Times New Roman" w:hAnsi="Times New Roman" w:cs="Times New Roman"/>
          <w:sz w:val="28"/>
          <w:szCs w:val="28"/>
        </w:rPr>
        <w:t> 420</w:t>
      </w:r>
      <w:r w:rsidRPr="00413FC4">
        <w:rPr>
          <w:rFonts w:ascii="Times New Roman" w:hAnsi="Times New Roman" w:cs="Times New Roman"/>
          <w:sz w:val="28"/>
          <w:szCs w:val="28"/>
        </w:rPr>
        <w:t xml:space="preserve"> человек или </w:t>
      </w:r>
      <w:r>
        <w:rPr>
          <w:rFonts w:ascii="Times New Roman" w:hAnsi="Times New Roman" w:cs="Times New Roman"/>
          <w:sz w:val="28"/>
          <w:szCs w:val="28"/>
        </w:rPr>
        <w:t>27,2</w:t>
      </w:r>
      <w:r w:rsidRPr="00413FC4">
        <w:rPr>
          <w:rFonts w:ascii="Times New Roman" w:hAnsi="Times New Roman" w:cs="Times New Roman"/>
          <w:sz w:val="28"/>
          <w:szCs w:val="28"/>
        </w:rPr>
        <w:t>% от работающего населения.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FC4">
        <w:rPr>
          <w:rFonts w:ascii="Times New Roman" w:hAnsi="Times New Roman" w:cs="Times New Roman"/>
          <w:sz w:val="28"/>
          <w:szCs w:val="28"/>
        </w:rPr>
        <w:t xml:space="preserve">Средняя заработная плата работников образования в анализируемом периоде составила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413FC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964</w:t>
      </w:r>
      <w:r w:rsidRPr="00413FC4">
        <w:rPr>
          <w:rFonts w:ascii="Times New Roman" w:hAnsi="Times New Roman" w:cs="Times New Roman"/>
          <w:sz w:val="28"/>
          <w:szCs w:val="28"/>
        </w:rPr>
        <w:t xml:space="preserve"> руб., что на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413FC4">
        <w:rPr>
          <w:rFonts w:ascii="Times New Roman" w:hAnsi="Times New Roman" w:cs="Times New Roman"/>
          <w:sz w:val="28"/>
          <w:szCs w:val="28"/>
        </w:rPr>
        <w:t>% превышает прошлогоднее значение.</w:t>
      </w:r>
    </w:p>
    <w:p w:rsidR="00021324" w:rsidRPr="006D7CFD" w:rsidRDefault="00021324" w:rsidP="00021324">
      <w:pPr>
        <w:spacing w:after="0"/>
        <w:ind w:firstLine="709"/>
        <w:jc w:val="both"/>
      </w:pPr>
      <w:r w:rsidRPr="006D7CFD">
        <w:rPr>
          <w:rFonts w:ascii="Times New Roman" w:hAnsi="Times New Roman" w:cs="Times New Roman"/>
          <w:sz w:val="28"/>
          <w:szCs w:val="28"/>
        </w:rPr>
        <w:t>Сферу культуры представляют 68 учреждений (21 юридическое лицо):</w:t>
      </w:r>
    </w:p>
    <w:p w:rsidR="00021324" w:rsidRPr="00413FC4" w:rsidRDefault="00021324" w:rsidP="00A97D0C">
      <w:pPr>
        <w:pStyle w:val="a5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13FC4">
        <w:rPr>
          <w:sz w:val="28"/>
          <w:szCs w:val="28"/>
        </w:rPr>
        <w:lastRenderedPageBreak/>
        <w:t>41 учреждение культуры клубного типа;</w:t>
      </w:r>
    </w:p>
    <w:p w:rsidR="00021324" w:rsidRPr="00413FC4" w:rsidRDefault="00021324" w:rsidP="00A97D0C">
      <w:pPr>
        <w:pStyle w:val="a5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13FC4">
        <w:rPr>
          <w:sz w:val="28"/>
          <w:szCs w:val="28"/>
        </w:rPr>
        <w:t>24 библиотеки;</w:t>
      </w:r>
    </w:p>
    <w:p w:rsidR="00021324" w:rsidRPr="00413FC4" w:rsidRDefault="00021324" w:rsidP="00A97D0C">
      <w:pPr>
        <w:pStyle w:val="a5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13FC4">
        <w:rPr>
          <w:sz w:val="28"/>
          <w:szCs w:val="28"/>
        </w:rPr>
        <w:t xml:space="preserve">1 МКУ </w:t>
      </w:r>
      <w:proofErr w:type="gramStart"/>
      <w:r w:rsidRPr="00413FC4">
        <w:rPr>
          <w:sz w:val="28"/>
          <w:szCs w:val="28"/>
        </w:rPr>
        <w:t>ДО</w:t>
      </w:r>
      <w:proofErr w:type="gramEnd"/>
      <w:r w:rsidRPr="00413FC4">
        <w:rPr>
          <w:sz w:val="28"/>
          <w:szCs w:val="28"/>
        </w:rPr>
        <w:t xml:space="preserve"> «</w:t>
      </w:r>
      <w:proofErr w:type="gramStart"/>
      <w:r w:rsidRPr="00413FC4">
        <w:rPr>
          <w:sz w:val="28"/>
          <w:szCs w:val="28"/>
        </w:rPr>
        <w:t>Детская</w:t>
      </w:r>
      <w:proofErr w:type="gramEnd"/>
      <w:r w:rsidRPr="00413FC4">
        <w:rPr>
          <w:sz w:val="28"/>
          <w:szCs w:val="28"/>
        </w:rPr>
        <w:t xml:space="preserve"> школа искусств п. Михайловка»;</w:t>
      </w:r>
    </w:p>
    <w:p w:rsidR="00021324" w:rsidRPr="00413FC4" w:rsidRDefault="00021324" w:rsidP="00A97D0C">
      <w:pPr>
        <w:pStyle w:val="a5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13FC4">
        <w:rPr>
          <w:sz w:val="28"/>
          <w:szCs w:val="28"/>
        </w:rPr>
        <w:t>1 МКУК «Районный историко-краеведческий музей»;</w:t>
      </w:r>
    </w:p>
    <w:p w:rsidR="00021324" w:rsidRPr="00413FC4" w:rsidRDefault="00021324" w:rsidP="00A97D0C">
      <w:pPr>
        <w:pStyle w:val="a5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13FC4">
        <w:rPr>
          <w:sz w:val="28"/>
          <w:szCs w:val="28"/>
        </w:rPr>
        <w:t>1 Дом народного творчества.</w:t>
      </w:r>
    </w:p>
    <w:p w:rsidR="00021324" w:rsidRPr="00413FC4" w:rsidRDefault="00021324" w:rsidP="00021324">
      <w:pPr>
        <w:pStyle w:val="a5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13FC4">
        <w:rPr>
          <w:sz w:val="28"/>
          <w:szCs w:val="28"/>
        </w:rPr>
        <w:t xml:space="preserve">Численность занятых в культуре работников составляет 125 человек. Заработная плата работников культуры в отчетном периоде составила </w:t>
      </w:r>
      <w:r>
        <w:rPr>
          <w:sz w:val="28"/>
          <w:szCs w:val="28"/>
        </w:rPr>
        <w:t>32 165 </w:t>
      </w:r>
      <w:r w:rsidRPr="00413FC4">
        <w:rPr>
          <w:sz w:val="28"/>
          <w:szCs w:val="28"/>
        </w:rPr>
        <w:t xml:space="preserve">руб., что на </w:t>
      </w:r>
      <w:r>
        <w:rPr>
          <w:sz w:val="28"/>
          <w:szCs w:val="28"/>
        </w:rPr>
        <w:t>25,4</w:t>
      </w:r>
      <w:r w:rsidRPr="00413FC4">
        <w:rPr>
          <w:sz w:val="28"/>
          <w:szCs w:val="28"/>
        </w:rPr>
        <w:t>% больше значения прошлого года.</w:t>
      </w:r>
    </w:p>
    <w:p w:rsidR="00E820C2" w:rsidRPr="00CA1CCD" w:rsidRDefault="00E820C2" w:rsidP="00021324">
      <w:pPr>
        <w:tabs>
          <w:tab w:val="left" w:pos="1276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CCD">
        <w:rPr>
          <w:rFonts w:ascii="Times New Roman" w:hAnsi="Times New Roman" w:cs="Times New Roman"/>
          <w:b/>
          <w:sz w:val="28"/>
          <w:szCs w:val="28"/>
        </w:rPr>
        <w:t>Уровень жизни населения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демография</w:t>
      </w:r>
    </w:p>
    <w:p w:rsidR="00021324" w:rsidRPr="00CA1CCD" w:rsidRDefault="00021324" w:rsidP="00021324">
      <w:pPr>
        <w:pStyle w:val="a5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CCD">
        <w:rPr>
          <w:sz w:val="28"/>
          <w:szCs w:val="28"/>
        </w:rPr>
        <w:t xml:space="preserve">Общая численность населения Черемховского района по данным </w:t>
      </w:r>
      <w:proofErr w:type="spellStart"/>
      <w:r w:rsidRPr="00CA1CCD">
        <w:rPr>
          <w:sz w:val="28"/>
          <w:szCs w:val="28"/>
        </w:rPr>
        <w:t>Иркутскстата</w:t>
      </w:r>
      <w:proofErr w:type="spellEnd"/>
      <w:r w:rsidRPr="00CA1CCD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1 января 2018</w:t>
      </w:r>
      <w:r w:rsidRPr="00CA1CCD">
        <w:rPr>
          <w:sz w:val="28"/>
          <w:szCs w:val="28"/>
        </w:rPr>
        <w:t xml:space="preserve"> года составила 28 </w:t>
      </w:r>
      <w:r>
        <w:rPr>
          <w:sz w:val="28"/>
          <w:szCs w:val="28"/>
        </w:rPr>
        <w:t>463</w:t>
      </w:r>
      <w:r w:rsidRPr="00CA1CCD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CA1CCD">
        <w:rPr>
          <w:sz w:val="28"/>
          <w:szCs w:val="28"/>
        </w:rPr>
        <w:t>.</w:t>
      </w:r>
    </w:p>
    <w:p w:rsidR="00021324" w:rsidRPr="00315C2A" w:rsidRDefault="00021324" w:rsidP="000213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Удельный</w:t>
      </w:r>
      <w:r w:rsidRPr="009A315F">
        <w:rPr>
          <w:rFonts w:ascii="Times New Roman" w:hAnsi="Times New Roman" w:cs="Times New Roman"/>
          <w:sz w:val="28"/>
          <w:szCs w:val="28"/>
        </w:rPr>
        <w:t xml:space="preserve"> вес численности городского населения в общей численности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составляет 26,02%, сельского населения – 73,98%. </w:t>
      </w:r>
      <w:r w:rsidRPr="00315C2A">
        <w:rPr>
          <w:rFonts w:ascii="Times New Roman" w:hAnsi="Times New Roman" w:cs="Times New Roman"/>
          <w:sz w:val="28"/>
          <w:szCs w:val="28"/>
        </w:rPr>
        <w:t xml:space="preserve">Половая структура населения сохранилась на прежнем уровне: количество мужчин – </w:t>
      </w:r>
      <w:r>
        <w:rPr>
          <w:rFonts w:ascii="Times New Roman" w:hAnsi="Times New Roman" w:cs="Times New Roman"/>
          <w:sz w:val="28"/>
          <w:szCs w:val="28"/>
        </w:rPr>
        <w:t>13,719</w:t>
      </w:r>
      <w:r w:rsidRPr="00315C2A">
        <w:rPr>
          <w:rFonts w:ascii="Times New Roman" w:hAnsi="Times New Roman" w:cs="Times New Roman"/>
          <w:sz w:val="28"/>
          <w:szCs w:val="28"/>
        </w:rPr>
        <w:t xml:space="preserve"> тыс. чел., количество женщин – 14,</w:t>
      </w:r>
      <w:r>
        <w:rPr>
          <w:rFonts w:ascii="Times New Roman" w:hAnsi="Times New Roman" w:cs="Times New Roman"/>
          <w:sz w:val="28"/>
          <w:szCs w:val="28"/>
        </w:rPr>
        <w:t>744</w:t>
      </w:r>
      <w:r w:rsidRPr="00315C2A">
        <w:rPr>
          <w:rFonts w:ascii="Times New Roman" w:hAnsi="Times New Roman" w:cs="Times New Roman"/>
          <w:sz w:val="28"/>
          <w:szCs w:val="28"/>
        </w:rPr>
        <w:t xml:space="preserve"> тыс. чел. Таким образом, удельный вес мужского населения составил 48</w:t>
      </w:r>
      <w:r>
        <w:rPr>
          <w:rFonts w:ascii="Times New Roman" w:hAnsi="Times New Roman" w:cs="Times New Roman"/>
          <w:sz w:val="28"/>
          <w:szCs w:val="28"/>
        </w:rPr>
        <w:t>,2</w:t>
      </w:r>
      <w:r w:rsidRPr="00315C2A">
        <w:rPr>
          <w:rFonts w:ascii="Times New Roman" w:hAnsi="Times New Roman" w:cs="Times New Roman"/>
          <w:sz w:val="28"/>
          <w:szCs w:val="28"/>
        </w:rPr>
        <w:t>% от общей численности населения, женщин – 5</w:t>
      </w:r>
      <w:r>
        <w:rPr>
          <w:rFonts w:ascii="Times New Roman" w:hAnsi="Times New Roman" w:cs="Times New Roman"/>
          <w:sz w:val="28"/>
          <w:szCs w:val="28"/>
        </w:rPr>
        <w:t>1,8</w:t>
      </w:r>
      <w:r w:rsidRPr="00315C2A">
        <w:rPr>
          <w:rFonts w:ascii="Times New Roman" w:hAnsi="Times New Roman" w:cs="Times New Roman"/>
          <w:sz w:val="28"/>
          <w:szCs w:val="28"/>
        </w:rPr>
        <w:t>%.</w:t>
      </w:r>
    </w:p>
    <w:p w:rsidR="00021324" w:rsidRDefault="00021324" w:rsidP="00021324">
      <w:pPr>
        <w:pStyle w:val="a5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CCD">
        <w:rPr>
          <w:sz w:val="28"/>
          <w:szCs w:val="28"/>
        </w:rPr>
        <w:t>Среднесписочная численность занятых в экономике состав</w:t>
      </w:r>
      <w:r>
        <w:rPr>
          <w:sz w:val="28"/>
          <w:szCs w:val="28"/>
        </w:rPr>
        <w:t>ляет</w:t>
      </w:r>
      <w:r w:rsidRPr="00CA1CCD">
        <w:rPr>
          <w:sz w:val="28"/>
          <w:szCs w:val="28"/>
        </w:rPr>
        <w:t xml:space="preserve"> </w:t>
      </w:r>
      <w:r>
        <w:rPr>
          <w:sz w:val="28"/>
          <w:szCs w:val="28"/>
        </w:rPr>
        <w:t>5,221</w:t>
      </w:r>
      <w:r w:rsidRPr="00CA1CCD">
        <w:rPr>
          <w:sz w:val="28"/>
          <w:szCs w:val="28"/>
        </w:rPr>
        <w:t xml:space="preserve"> </w:t>
      </w:r>
      <w:r>
        <w:rPr>
          <w:sz w:val="28"/>
          <w:szCs w:val="28"/>
        </w:rPr>
        <w:t>тыс. чел.</w:t>
      </w:r>
    </w:p>
    <w:p w:rsidR="00021324" w:rsidRPr="00CA1CCD" w:rsidRDefault="00021324" w:rsidP="00021324">
      <w:pPr>
        <w:pStyle w:val="a5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CCD">
        <w:rPr>
          <w:sz w:val="28"/>
          <w:szCs w:val="28"/>
        </w:rPr>
        <w:t xml:space="preserve">Показатель регистрируемой безработицы в отчетном периоде </w:t>
      </w:r>
      <w:r>
        <w:rPr>
          <w:sz w:val="28"/>
          <w:szCs w:val="28"/>
        </w:rPr>
        <w:t>зафиксирован на уровне 1,6</w:t>
      </w:r>
      <w:r w:rsidRPr="00CA1CCD">
        <w:rPr>
          <w:sz w:val="28"/>
          <w:szCs w:val="28"/>
        </w:rPr>
        <w:t>%.</w:t>
      </w:r>
    </w:p>
    <w:p w:rsidR="00021324" w:rsidRPr="00CA1CCD" w:rsidRDefault="00021324" w:rsidP="00021324">
      <w:pPr>
        <w:pStyle w:val="a5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CCD">
        <w:rPr>
          <w:sz w:val="28"/>
          <w:szCs w:val="28"/>
        </w:rPr>
        <w:t xml:space="preserve">Среднемесячная заработная плата по району – </w:t>
      </w:r>
      <w:r>
        <w:rPr>
          <w:sz w:val="28"/>
          <w:szCs w:val="28"/>
        </w:rPr>
        <w:t>23 411</w:t>
      </w:r>
      <w:r w:rsidRPr="00CA1CCD">
        <w:rPr>
          <w:sz w:val="28"/>
          <w:szCs w:val="28"/>
        </w:rPr>
        <w:t>,</w:t>
      </w:r>
      <w:r>
        <w:rPr>
          <w:sz w:val="28"/>
          <w:szCs w:val="28"/>
        </w:rPr>
        <w:t>16</w:t>
      </w:r>
      <w:r w:rsidRPr="00CA1CCD">
        <w:rPr>
          <w:sz w:val="28"/>
          <w:szCs w:val="28"/>
        </w:rPr>
        <w:t xml:space="preserve"> руб. или </w:t>
      </w:r>
      <w:r>
        <w:rPr>
          <w:sz w:val="28"/>
          <w:szCs w:val="28"/>
        </w:rPr>
        <w:t>112,6</w:t>
      </w:r>
      <w:r w:rsidRPr="00CA1CCD">
        <w:rPr>
          <w:sz w:val="28"/>
          <w:szCs w:val="28"/>
        </w:rPr>
        <w:t>% к уровню прошлого года.</w:t>
      </w:r>
    </w:p>
    <w:p w:rsidR="00021324" w:rsidRPr="00CA1CCD" w:rsidRDefault="00021324" w:rsidP="00021324">
      <w:pPr>
        <w:pStyle w:val="a5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CCD">
        <w:rPr>
          <w:sz w:val="28"/>
          <w:szCs w:val="28"/>
        </w:rPr>
        <w:t xml:space="preserve">Фонд оплаты труда в экономике района увеличился на </w:t>
      </w:r>
      <w:r>
        <w:rPr>
          <w:sz w:val="28"/>
          <w:szCs w:val="28"/>
        </w:rPr>
        <w:t>12,6</w:t>
      </w:r>
      <w:r w:rsidRPr="00CA1CCD">
        <w:rPr>
          <w:sz w:val="28"/>
          <w:szCs w:val="28"/>
        </w:rPr>
        <w:t xml:space="preserve">% и составил </w:t>
      </w:r>
      <w:r>
        <w:rPr>
          <w:sz w:val="28"/>
          <w:szCs w:val="28"/>
        </w:rPr>
        <w:t>1 466,7</w:t>
      </w:r>
      <w:r w:rsidRPr="00CA1CCD">
        <w:rPr>
          <w:sz w:val="28"/>
          <w:szCs w:val="28"/>
        </w:rPr>
        <w:t xml:space="preserve"> </w:t>
      </w:r>
      <w:proofErr w:type="spellStart"/>
      <w:proofErr w:type="gramStart"/>
      <w:r w:rsidRPr="00CA1CCD">
        <w:rPr>
          <w:sz w:val="28"/>
          <w:szCs w:val="28"/>
        </w:rPr>
        <w:t>млн</w:t>
      </w:r>
      <w:proofErr w:type="spellEnd"/>
      <w:proofErr w:type="gramEnd"/>
      <w:r w:rsidRPr="00CA1CCD">
        <w:rPr>
          <w:sz w:val="28"/>
          <w:szCs w:val="28"/>
        </w:rPr>
        <w:t xml:space="preserve"> руб. </w:t>
      </w:r>
    </w:p>
    <w:p w:rsidR="000D6EF0" w:rsidRPr="000D6EF0" w:rsidRDefault="00021324" w:rsidP="00021324">
      <w:pPr>
        <w:pStyle w:val="a5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A1CCD">
        <w:rPr>
          <w:sz w:val="28"/>
          <w:szCs w:val="28"/>
        </w:rPr>
        <w:t>Прожиточный минимум в отчетном периоде составил 9</w:t>
      </w:r>
      <w:r>
        <w:rPr>
          <w:sz w:val="28"/>
          <w:szCs w:val="28"/>
        </w:rPr>
        <w:t> 730,5</w:t>
      </w:r>
      <w:r w:rsidRPr="00CA1CCD">
        <w:rPr>
          <w:sz w:val="28"/>
          <w:szCs w:val="28"/>
        </w:rPr>
        <w:t xml:space="preserve"> руб.</w:t>
      </w:r>
    </w:p>
    <w:sectPr w:rsidR="000D6EF0" w:rsidRPr="000D6EF0" w:rsidSect="0087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46BA9"/>
    <w:multiLevelType w:val="hybridMultilevel"/>
    <w:tmpl w:val="1E9A4C20"/>
    <w:lvl w:ilvl="0" w:tplc="6524A54C">
      <w:start w:val="1"/>
      <w:numFmt w:val="bullet"/>
      <w:lvlText w:val="-"/>
      <w:lvlJc w:val="left"/>
      <w:pPr>
        <w:ind w:left="107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3BF0231B"/>
    <w:multiLevelType w:val="hybridMultilevel"/>
    <w:tmpl w:val="EDB02A80"/>
    <w:lvl w:ilvl="0" w:tplc="6524A54C">
      <w:start w:val="1"/>
      <w:numFmt w:val="bullet"/>
      <w:lvlText w:val="-"/>
      <w:lvlJc w:val="left"/>
      <w:pPr>
        <w:ind w:left="107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5BA04FB7"/>
    <w:multiLevelType w:val="hybridMultilevel"/>
    <w:tmpl w:val="E6944770"/>
    <w:lvl w:ilvl="0" w:tplc="428C899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>
    <w:nsid w:val="62884C6D"/>
    <w:multiLevelType w:val="multilevel"/>
    <w:tmpl w:val="50846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06635"/>
    <w:rsid w:val="00006635"/>
    <w:rsid w:val="00021324"/>
    <w:rsid w:val="000C0919"/>
    <w:rsid w:val="000D6EF0"/>
    <w:rsid w:val="00117D7C"/>
    <w:rsid w:val="0030478B"/>
    <w:rsid w:val="00362C93"/>
    <w:rsid w:val="003B0DFE"/>
    <w:rsid w:val="003B5205"/>
    <w:rsid w:val="00466869"/>
    <w:rsid w:val="00511F4C"/>
    <w:rsid w:val="005E4502"/>
    <w:rsid w:val="00692181"/>
    <w:rsid w:val="00844BA0"/>
    <w:rsid w:val="00877D2E"/>
    <w:rsid w:val="008D1BA5"/>
    <w:rsid w:val="009168F0"/>
    <w:rsid w:val="009332E9"/>
    <w:rsid w:val="00A827FA"/>
    <w:rsid w:val="00A9674A"/>
    <w:rsid w:val="00A97D0C"/>
    <w:rsid w:val="00AC4B68"/>
    <w:rsid w:val="00B65C0D"/>
    <w:rsid w:val="00BA5C13"/>
    <w:rsid w:val="00C61024"/>
    <w:rsid w:val="00D23B50"/>
    <w:rsid w:val="00E820C2"/>
    <w:rsid w:val="00F60C03"/>
    <w:rsid w:val="00FF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6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66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semiHidden/>
    <w:unhideWhenUsed/>
    <w:rsid w:val="006921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20</cp:revision>
  <cp:lastPrinted>2018-03-28T02:44:00Z</cp:lastPrinted>
  <dcterms:created xsi:type="dcterms:W3CDTF">2018-01-12T02:29:00Z</dcterms:created>
  <dcterms:modified xsi:type="dcterms:W3CDTF">2019-02-18T07:47:00Z</dcterms:modified>
</cp:coreProperties>
</file>