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1" w:rsidRDefault="00545BB1" w:rsidP="00545BB1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>ДОКУМЕНТЫ, НЕОБХОДИМЫЕ ДЛЯ КАДАСТРОГО УЧЕТА И (ИЛИ) РЕГИСТРАЦИИ ПРАВ</w:t>
      </w:r>
    </w:p>
    <w:bookmarkEnd w:id="0"/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 частью 1 статьи 14 Федерального закона от 13.07.2015№ 218-ФЗ «О государственной регистрации недвижимости» (далее - Закон № 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 прав в установленном Законом № 218-ФЗ порядке.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Форма заявления о государственном кадастровом учете недвижимого имущества и (или) государственной регистрации прав на недвижимое имущество (ссылка на форму)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от 19.08.2020 № П/0310.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Порядок представления заявления и документов: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от 30.12.2020 № П/0509: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форме документов на бумажном носителе: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посредством личного обращения в орган регистрации прав, к уполномоченному лицу органа регистрации прав при выездном приеме, через МФЦ;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сделка с объектом недвижимости должна быть нотариально удостоверена;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</w:t>
      </w:r>
      <w:r>
        <w:rPr>
          <w:rFonts w:ascii="Verdana" w:hAnsi="Verdana"/>
          <w:color w:val="000000"/>
          <w:sz w:val="18"/>
          <w:szCs w:val="18"/>
        </w:rPr>
        <w:lastRenderedPageBreak/>
        <w:t>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Документы, прилагаемые к заявлению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документ, подтверждающий полномочия представителя заявителя (если с заявлением обращается его представитель);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документы,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иные документы, предусмотренные Законом № 218-ФЗ и принятыми в соответствии с ним иными нормативными правовыми актами.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случае,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государственную регистрацию прав взимается государственная пошлина в соответствии с Налоговым кодексом Российской Федерации (статья 17 Закона № 218-ФЗ).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(статья 25 Закона № 218-ФЗ).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Основания для осуществления государственного кадастрового учета и (или) государственной регистрации прав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свидетельства о праве на наследство;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вступившие в законную силу судебные акты;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наступление обстоятельств, указанных в федеральном законе.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Требования к документам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а также 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имущество) представляются в экземпляре-подлиннике. Такие документы с отметкой об их переводе в форму электронного образа документа (за исключением случаев, установленных законом) возвращаются заявителю после завершения процедуры осуществления государственного кадастрового учета и (или) государственной регистрации прав вместе с иными подлежащими выдаче документами.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</w:t>
      </w:r>
      <w:r>
        <w:rPr>
          <w:rFonts w:ascii="Verdana" w:hAnsi="Verdana"/>
          <w:color w:val="000000"/>
          <w:sz w:val="18"/>
          <w:szCs w:val="18"/>
        </w:rPr>
        <w:lastRenderedPageBreak/>
        <w:t>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соответствии с частью 1 статьи 16 Федерального закона от 13.07.2015 № 218-ФЗ «О государственной регистрации недвижимости» государственный 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девять рабочих дней с даты приема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пять рабочих дней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– в течение одного рабочего дня, следующего за днем поступления соответствующих документов;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10)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документов.</w:t>
      </w:r>
    </w:p>
    <w:p w:rsidR="00545BB1" w:rsidRDefault="00545BB1" w:rsidP="00545BB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Ссылка на сайт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>: https://rosreestr.gov.ru/activity/okazanie-gosudarstvennykh-uslug/kadastrovyy-uchet-i-ili-registratsiya-prav-/</w:t>
      </w:r>
    </w:p>
    <w:p w:rsidR="003E6B8E" w:rsidRDefault="003E6B8E"/>
    <w:sectPr w:rsidR="003E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B1"/>
    <w:rsid w:val="003E6B8E"/>
    <w:rsid w:val="005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8DDE7-2CDE-4A90-BE2C-4D78671E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2022-07-06T00:13:00Z</dcterms:created>
  <dcterms:modified xsi:type="dcterms:W3CDTF">2022-07-06T00:14:00Z</dcterms:modified>
</cp:coreProperties>
</file>