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0" w:rsidRPr="00880D70" w:rsidRDefault="00B034A6" w:rsidP="00B034A6">
      <w:pPr>
        <w:jc w:val="center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>ФИНАНСОВЫЙ   МЕНЕДЖМЕНТ</w:t>
      </w:r>
    </w:p>
    <w:p w:rsidR="00B034A6" w:rsidRPr="00880D70" w:rsidRDefault="00B034A6" w:rsidP="00B034A6">
      <w:pPr>
        <w:jc w:val="left"/>
        <w:rPr>
          <w:rFonts w:ascii="Times New Roman" w:hAnsi="Times New Roman" w:cs="Times New Roman"/>
        </w:rPr>
      </w:pP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На основе результатов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, главными администраторами источников финансирования дефицита бюджета </w:t>
      </w:r>
      <w:r w:rsidRPr="00880D70">
        <w:rPr>
          <w:rFonts w:ascii="Times New Roman" w:hAnsi="Times New Roman" w:cs="Times New Roman"/>
          <w:sz w:val="24"/>
          <w:szCs w:val="24"/>
        </w:rPr>
        <w:t>муниципального образования «Тайшетский район», составляется рейтинг главных администраторов бюджетных средств</w:t>
      </w:r>
      <w:r w:rsidR="00135FEE" w:rsidRPr="00880D70">
        <w:rPr>
          <w:rFonts w:ascii="Times New Roman" w:hAnsi="Times New Roman" w:cs="Times New Roman"/>
          <w:sz w:val="24"/>
          <w:szCs w:val="24"/>
        </w:rPr>
        <w:t xml:space="preserve"> (далее – ГАБС)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B034A6" w:rsidRPr="00880D70" w:rsidRDefault="00B034A6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 xml:space="preserve">Качество финансового менеджмента ГАБС зависит от организации ГАБС процедур 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управления доходами и расходами бюджета, </w:t>
      </w:r>
      <w:r w:rsidRPr="00880D70">
        <w:rPr>
          <w:rFonts w:ascii="Times New Roman" w:hAnsi="Times New Roman" w:cs="Times New Roman"/>
          <w:sz w:val="24"/>
          <w:szCs w:val="24"/>
        </w:rPr>
        <w:t>ведения учета</w:t>
      </w:r>
      <w:r w:rsidR="00DD3975" w:rsidRPr="00880D70">
        <w:rPr>
          <w:rFonts w:ascii="Times New Roman" w:hAnsi="Times New Roman" w:cs="Times New Roman"/>
          <w:sz w:val="24"/>
          <w:szCs w:val="24"/>
        </w:rPr>
        <w:t xml:space="preserve"> и</w:t>
      </w:r>
      <w:r w:rsidRPr="00880D70">
        <w:rPr>
          <w:rFonts w:ascii="Times New Roman" w:hAnsi="Times New Roman" w:cs="Times New Roman"/>
          <w:sz w:val="24"/>
          <w:szCs w:val="24"/>
        </w:rPr>
        <w:t xml:space="preserve"> составления бюджетной отчетности, </w:t>
      </w:r>
      <w:r w:rsidR="00DD3975" w:rsidRPr="00880D70">
        <w:rPr>
          <w:rFonts w:ascii="Times New Roman" w:hAnsi="Times New Roman" w:cs="Times New Roman"/>
          <w:sz w:val="24"/>
          <w:szCs w:val="24"/>
        </w:rPr>
        <w:t>организации и осуществления внутреннего финансового аудита и внутреннего</w:t>
      </w:r>
      <w:r w:rsidRPr="00880D70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DD3975" w:rsidRPr="00880D70">
        <w:rPr>
          <w:rFonts w:ascii="Times New Roman" w:hAnsi="Times New Roman" w:cs="Times New Roman"/>
          <w:sz w:val="24"/>
          <w:szCs w:val="24"/>
        </w:rPr>
        <w:t>, управления активами, исполнения бюджетных процедур во взаимосвязи с выявленными бюджетными нарушениями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437E10" w:rsidRPr="00880D70" w:rsidRDefault="00437E10" w:rsidP="00DD397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ab/>
        <w:t>Мониторинг проводится в соответствии с Порядком проведения мониторинга качества финансового менеджмента главных распорядителей бюджетных средств, главных администраторов доходов бюджета</w:t>
      </w:r>
      <w:r w:rsidR="00636A99" w:rsidRPr="00880D70">
        <w:rPr>
          <w:rFonts w:ascii="Times New Roman" w:hAnsi="Times New Roman" w:cs="Times New Roman"/>
          <w:sz w:val="24"/>
          <w:szCs w:val="24"/>
        </w:rPr>
        <w:t>, главных администраторов источников финансирования дефицита бюджета</w:t>
      </w:r>
      <w:r w:rsidRPr="00880D7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«Тайшетский район», утвержденным </w:t>
      </w:r>
      <w:r w:rsidR="00636A99" w:rsidRPr="00880D70">
        <w:rPr>
          <w:rFonts w:ascii="Times New Roman" w:hAnsi="Times New Roman" w:cs="Times New Roman"/>
          <w:sz w:val="24"/>
          <w:szCs w:val="24"/>
        </w:rPr>
        <w:t>приказом Финансового управления</w:t>
      </w:r>
      <w:r w:rsidRPr="00880D70"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района от 3</w:t>
      </w:r>
      <w:r w:rsidR="00230269">
        <w:rPr>
          <w:rFonts w:ascii="Times New Roman" w:hAnsi="Times New Roman" w:cs="Times New Roman"/>
          <w:sz w:val="24"/>
          <w:szCs w:val="24"/>
        </w:rPr>
        <w:t>1</w:t>
      </w:r>
      <w:r w:rsidR="00636A99" w:rsidRPr="00880D70">
        <w:rPr>
          <w:rFonts w:ascii="Times New Roman" w:hAnsi="Times New Roman" w:cs="Times New Roman"/>
          <w:sz w:val="24"/>
          <w:szCs w:val="24"/>
        </w:rPr>
        <w:t>.05.2021</w:t>
      </w:r>
      <w:r w:rsidRPr="00880D7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36A99" w:rsidRPr="00880D70">
        <w:rPr>
          <w:rFonts w:ascii="Times New Roman" w:hAnsi="Times New Roman" w:cs="Times New Roman"/>
          <w:sz w:val="24"/>
          <w:szCs w:val="24"/>
        </w:rPr>
        <w:t>64/р</w:t>
      </w:r>
      <w:r w:rsidRPr="00880D70">
        <w:rPr>
          <w:rFonts w:ascii="Times New Roman" w:hAnsi="Times New Roman" w:cs="Times New Roman"/>
          <w:sz w:val="24"/>
          <w:szCs w:val="24"/>
        </w:rPr>
        <w:t>.</w:t>
      </w:r>
    </w:p>
    <w:p w:rsidR="00880D70" w:rsidRPr="00880D70" w:rsidRDefault="00880D70" w:rsidP="00880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>Мониторинг качества финансового менеджмента проводится по следующим направлениям: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расходами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доходами бюджета;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ведения учёта и составления бюджетной отчётности;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организации и осуществления внутреннего финансового аудита и внутреннего финансового контроля;</w:t>
      </w:r>
    </w:p>
    <w:p w:rsidR="00880D7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управления активами;</w:t>
      </w:r>
    </w:p>
    <w:p w:rsidR="00437E10" w:rsidRPr="00880D70" w:rsidRDefault="00880D70" w:rsidP="00880D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  <w:sz w:val="24"/>
          <w:szCs w:val="24"/>
        </w:rPr>
        <w:t xml:space="preserve"> - оценка качества исполнения бюджетных процедур во взаимосвязи с выявленными бюджетными нарушениями.</w:t>
      </w:r>
    </w:p>
    <w:p w:rsidR="00437E10" w:rsidRPr="00880D70" w:rsidRDefault="00437E10" w:rsidP="00B034A6">
      <w:pPr>
        <w:jc w:val="both"/>
        <w:rPr>
          <w:rFonts w:ascii="Times New Roman" w:hAnsi="Times New Roman" w:cs="Times New Roman"/>
        </w:rPr>
      </w:pPr>
    </w:p>
    <w:p w:rsidR="00437E10" w:rsidRPr="00880D70" w:rsidRDefault="00437E10" w:rsidP="00B034A6">
      <w:pPr>
        <w:jc w:val="both"/>
        <w:rPr>
          <w:rFonts w:ascii="Times New Roman" w:hAnsi="Times New Roman" w:cs="Times New Roman"/>
          <w:sz w:val="24"/>
          <w:szCs w:val="24"/>
        </w:rPr>
      </w:pPr>
      <w:r w:rsidRPr="00880D70">
        <w:rPr>
          <w:rFonts w:ascii="Times New Roman" w:hAnsi="Times New Roman" w:cs="Times New Roman"/>
        </w:rPr>
        <w:tab/>
      </w:r>
      <w:r w:rsidRPr="00880D70">
        <w:rPr>
          <w:rFonts w:ascii="Times New Roman" w:hAnsi="Times New Roman" w:cs="Times New Roman"/>
          <w:sz w:val="24"/>
          <w:szCs w:val="24"/>
        </w:rPr>
        <w:t>Итоговая оценка по ГАБС оценивается по 5 – балльной шкале.</w:t>
      </w:r>
    </w:p>
    <w:p w:rsidR="00DB4B85" w:rsidRPr="00880D70" w:rsidRDefault="00DB4B85">
      <w:pPr>
        <w:jc w:val="left"/>
        <w:rPr>
          <w:rFonts w:ascii="Times New Roman" w:hAnsi="Times New Roman" w:cs="Times New Roman"/>
        </w:rPr>
      </w:pPr>
      <w:r w:rsidRPr="00880D70">
        <w:rPr>
          <w:rFonts w:ascii="Times New Roman" w:hAnsi="Times New Roman" w:cs="Times New Roman"/>
        </w:rPr>
        <w:t xml:space="preserve"> </w:t>
      </w: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F41" w:rsidRDefault="00022F41" w:rsidP="001C7D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4A6" w:rsidRPr="00880D70" w:rsidRDefault="00712F4E" w:rsidP="001C7D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D70">
        <w:rPr>
          <w:rFonts w:ascii="Times New Roman" w:hAnsi="Times New Roman" w:cs="Times New Roman"/>
          <w:sz w:val="28"/>
          <w:szCs w:val="28"/>
        </w:rPr>
        <w:lastRenderedPageBreak/>
        <w:t>Рейтинг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 </w:t>
      </w:r>
      <w:r w:rsidR="00022F41">
        <w:rPr>
          <w:rFonts w:ascii="Times New Roman" w:hAnsi="Times New Roman" w:cs="Times New Roman"/>
          <w:sz w:val="28"/>
          <w:szCs w:val="28"/>
        </w:rPr>
        <w:t xml:space="preserve">качества финансового менеджмента ГАБС </w:t>
      </w:r>
      <w:r w:rsidR="00DB4B85" w:rsidRPr="00880D70">
        <w:rPr>
          <w:rFonts w:ascii="Times New Roman" w:hAnsi="Times New Roman" w:cs="Times New Roman"/>
          <w:sz w:val="28"/>
          <w:szCs w:val="28"/>
        </w:rPr>
        <w:t xml:space="preserve">за </w:t>
      </w:r>
      <w:r w:rsidR="001A1540" w:rsidRPr="00880D70">
        <w:rPr>
          <w:rFonts w:ascii="Times New Roman" w:hAnsi="Times New Roman" w:cs="Times New Roman"/>
          <w:sz w:val="28"/>
          <w:szCs w:val="28"/>
        </w:rPr>
        <w:t>20</w:t>
      </w:r>
      <w:r w:rsidR="00DD3975" w:rsidRPr="00880D70">
        <w:rPr>
          <w:rFonts w:ascii="Times New Roman" w:hAnsi="Times New Roman" w:cs="Times New Roman"/>
          <w:sz w:val="28"/>
          <w:szCs w:val="28"/>
        </w:rPr>
        <w:t>2</w:t>
      </w:r>
      <w:r w:rsidR="00033560">
        <w:rPr>
          <w:rFonts w:ascii="Times New Roman" w:hAnsi="Times New Roman" w:cs="Times New Roman"/>
          <w:sz w:val="28"/>
          <w:szCs w:val="28"/>
        </w:rPr>
        <w:t>2</w:t>
      </w:r>
      <w:r w:rsidR="001A1540" w:rsidRPr="00880D7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0C46" w:rsidRPr="00B034A6" w:rsidRDefault="00D552A7" w:rsidP="00EB5AE9">
      <w:pPr>
        <w:jc w:val="center"/>
      </w:pPr>
      <w:r w:rsidRPr="00903A84">
        <w:rPr>
          <w:noProof/>
          <w:color w:val="7030A0"/>
          <w:shd w:val="clear" w:color="auto" w:fill="95B3D7" w:themeFill="accent1" w:themeFillTint="99"/>
          <w:lang w:eastAsia="ru-RU"/>
        </w:rPr>
        <w:drawing>
          <wp:inline distT="0" distB="0" distL="0" distR="0" wp14:anchorId="28F606E5" wp14:editId="46043596">
            <wp:extent cx="6647180" cy="9000877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D0C46" w:rsidRPr="00B034A6" w:rsidSect="009428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34A6"/>
    <w:rsid w:val="000059EE"/>
    <w:rsid w:val="00022F41"/>
    <w:rsid w:val="00033560"/>
    <w:rsid w:val="0008472E"/>
    <w:rsid w:val="000D7BA5"/>
    <w:rsid w:val="00132492"/>
    <w:rsid w:val="00135FEE"/>
    <w:rsid w:val="001611C4"/>
    <w:rsid w:val="001A1540"/>
    <w:rsid w:val="001C7D7F"/>
    <w:rsid w:val="001E0FDD"/>
    <w:rsid w:val="00226814"/>
    <w:rsid w:val="00230269"/>
    <w:rsid w:val="00243D0D"/>
    <w:rsid w:val="00265902"/>
    <w:rsid w:val="00342B2E"/>
    <w:rsid w:val="003511DB"/>
    <w:rsid w:val="003C1838"/>
    <w:rsid w:val="003C7AC6"/>
    <w:rsid w:val="003E59C4"/>
    <w:rsid w:val="00405D4D"/>
    <w:rsid w:val="00437E10"/>
    <w:rsid w:val="004478CA"/>
    <w:rsid w:val="004513F9"/>
    <w:rsid w:val="00482266"/>
    <w:rsid w:val="00540DC6"/>
    <w:rsid w:val="0054625E"/>
    <w:rsid w:val="00576BF3"/>
    <w:rsid w:val="006015F7"/>
    <w:rsid w:val="00636A99"/>
    <w:rsid w:val="006B70C4"/>
    <w:rsid w:val="006E1FB3"/>
    <w:rsid w:val="007125BB"/>
    <w:rsid w:val="00712F4E"/>
    <w:rsid w:val="0071734B"/>
    <w:rsid w:val="00725CE1"/>
    <w:rsid w:val="007601AE"/>
    <w:rsid w:val="0078742C"/>
    <w:rsid w:val="007B20EF"/>
    <w:rsid w:val="00867E07"/>
    <w:rsid w:val="00880D70"/>
    <w:rsid w:val="008D621F"/>
    <w:rsid w:val="00903A84"/>
    <w:rsid w:val="009428D7"/>
    <w:rsid w:val="009E0030"/>
    <w:rsid w:val="009F4AB3"/>
    <w:rsid w:val="00A37E5D"/>
    <w:rsid w:val="00A73AC7"/>
    <w:rsid w:val="00A8684D"/>
    <w:rsid w:val="00AA07C0"/>
    <w:rsid w:val="00AB53E4"/>
    <w:rsid w:val="00B011FE"/>
    <w:rsid w:val="00B034A6"/>
    <w:rsid w:val="00B35032"/>
    <w:rsid w:val="00B72C95"/>
    <w:rsid w:val="00B8171F"/>
    <w:rsid w:val="00C40A0A"/>
    <w:rsid w:val="00C53551"/>
    <w:rsid w:val="00C71B66"/>
    <w:rsid w:val="00CC0B8D"/>
    <w:rsid w:val="00CC1C45"/>
    <w:rsid w:val="00D22480"/>
    <w:rsid w:val="00D552A7"/>
    <w:rsid w:val="00D6115D"/>
    <w:rsid w:val="00DB4B85"/>
    <w:rsid w:val="00DD3975"/>
    <w:rsid w:val="00DF0795"/>
    <w:rsid w:val="00E17624"/>
    <w:rsid w:val="00E2112C"/>
    <w:rsid w:val="00E726AF"/>
    <w:rsid w:val="00EB5AE9"/>
    <w:rsid w:val="00F74715"/>
    <w:rsid w:val="00FC0477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BAA5-60B6-4C3B-A27E-3B4A09C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0D7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725879245033232"/>
          <c:y val="1.6605540365024575E-2"/>
          <c:w val="0.72623545513600918"/>
          <c:h val="0.8135595829850876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Управление расходами бюджета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Единая дежурно-диспетчерская служба Тайшетского района</c:v>
                </c:pt>
                <c:pt idx="2">
                  <c:v>Управление образования администрации Тайшетского района</c:v>
                </c:pt>
                <c:pt idx="3">
                  <c:v>Управленик культуры, спорта и молодежной политики администрации Тайшетского района</c:v>
                </c:pt>
                <c:pt idx="4">
                  <c:v>Администрация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Тайшетского района</c:v>
                </c:pt>
                <c:pt idx="7">
                  <c:v>Финансовое управление администрации Тайшетского района</c:v>
                </c:pt>
                <c:pt idx="8">
                  <c:v>Контрольно-счетная палата района</c:v>
                </c:pt>
                <c:pt idx="9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</c:strCache>
            </c:strRef>
          </c:cat>
          <c:val>
            <c:numRef>
              <c:f>Лист1!$C$5:$L$5</c:f>
              <c:numCache>
                <c:formatCode>General</c:formatCode>
                <c:ptCount val="10"/>
                <c:pt idx="0" formatCode="_-* #,##0.00_р_._-;\-* #,##0.00_р_._-;_-* &quot;-&quot;??_р_._-;_-@_-">
                  <c:v>2.36</c:v>
                </c:pt>
                <c:pt idx="1">
                  <c:v>2.73</c:v>
                </c:pt>
                <c:pt idx="2" formatCode="_-* #,##0.00_р_._-;\-* #,##0.00_р_._-;_-* &quot;-&quot;??_р_._-;_-@_-">
                  <c:v>3.36</c:v>
                </c:pt>
                <c:pt idx="3" formatCode="_-* #,##0.00_р_._-;\-* #,##0.00_р_._-;_-* &quot;-&quot;??_р_._-;_-@_-">
                  <c:v>3.45</c:v>
                </c:pt>
                <c:pt idx="4" formatCode="_-* #,##0.00_р_._-;\-* #,##0.00_р_._-;_-* &quot;-&quot;??_р_._-;_-@_-">
                  <c:v>3.45</c:v>
                </c:pt>
                <c:pt idx="5" formatCode="_-* #,##0.00_р_._-;\-* #,##0.00_р_._-;_-* &quot;-&quot;??_р_._-;_-@_-">
                  <c:v>3.64</c:v>
                </c:pt>
                <c:pt idx="6" formatCode="_-* #,##0.00_р_._-;\-* #,##0.00_р_._-;_-* &quot;-&quot;??_р_._-;_-@_-">
                  <c:v>3.78</c:v>
                </c:pt>
                <c:pt idx="7" formatCode="_-* #,##0.00_р_._-;\-* #,##0.00_р_._-;_-* &quot;-&quot;??_р_._-;_-@_-">
                  <c:v>3.45</c:v>
                </c:pt>
                <c:pt idx="8" formatCode="_-* #,##0.00_р_._-;\-* #,##0.00_р_._-;_-* &quot;-&quot;??_р_._-;_-@_-">
                  <c:v>3.9</c:v>
                </c:pt>
                <c:pt idx="9" formatCode="_-* #,##0.00_р_._-;\-* #,##0.00_р_._-;_-* &quot;-&quot;??_р_._-;_-@_-">
                  <c:v>4.88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Управление доходами бюджета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Единая дежурно-диспетчерская служба Тайшетского района</c:v>
                </c:pt>
                <c:pt idx="2">
                  <c:v>Управление образования администрации Тайшетского района</c:v>
                </c:pt>
                <c:pt idx="3">
                  <c:v>Управленик культуры, спорта и молодежной политики администрации Тайшетского района</c:v>
                </c:pt>
                <c:pt idx="4">
                  <c:v>Администрация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Тайшетского района</c:v>
                </c:pt>
                <c:pt idx="7">
                  <c:v>Финансовое управление администрации Тайшетского района</c:v>
                </c:pt>
                <c:pt idx="8">
                  <c:v>Контрольно-счетная палата района</c:v>
                </c:pt>
                <c:pt idx="9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</c:strCache>
            </c:strRef>
          </c:cat>
          <c:val>
            <c:numRef>
              <c:f>Лист1!$C$6:$L$6</c:f>
              <c:numCache>
                <c:formatCode>#,##0.00</c:formatCode>
                <c:ptCount val="10"/>
                <c:pt idx="0" formatCode="_-* #,##0.00_р_._-;\-* #,##0.00_р_._-;_-* &quot;-&quot;??_р_._-;_-@_-">
                  <c:v>3.33</c:v>
                </c:pt>
                <c:pt idx="1">
                  <c:v>5</c:v>
                </c:pt>
                <c:pt idx="2" formatCode="_-* #,##0.00_р_._-;\-* #,##0.00_р_._-;_-* &quot;-&quot;??_р_._-;_-@_-">
                  <c:v>5</c:v>
                </c:pt>
                <c:pt idx="3" formatCode="_-* #,##0.00_р_._-;\-* #,##0.00_р_._-;_-* &quot;-&quot;??_р_._-;_-@_-">
                  <c:v>3.33</c:v>
                </c:pt>
                <c:pt idx="4" formatCode="_-* #,##0.00_р_._-;\-* #,##0.00_р_._-;_-* &quot;-&quot;??_р_._-;_-@_-">
                  <c:v>5</c:v>
                </c:pt>
                <c:pt idx="5" formatCode="_-* #,##0.00_р_._-;\-* #,##0.00_р_._-;_-* &quot;-&quot;??_р_._-;_-@_-">
                  <c:v>5</c:v>
                </c:pt>
                <c:pt idx="6" formatCode="_-* #,##0.00_р_._-;\-* #,##0.00_р_._-;_-* &quot;-&quot;??_р_._-;_-@_-">
                  <c:v>5</c:v>
                </c:pt>
                <c:pt idx="7" formatCode="_-* #,##0.00_р_._-;\-* #,##0.00_р_._-;_-* &quot;-&quot;??_р_._-;_-@_-">
                  <c:v>5</c:v>
                </c:pt>
                <c:pt idx="8" formatCode="_-* #,##0.00_р_._-;\-* #,##0.00_р_._-;_-* &quot;-&quot;??_р_._-;_-@_-">
                  <c:v>5</c:v>
                </c:pt>
                <c:pt idx="9" formatCode="_-* #,##0.00_р_._-;\-* #,##0.00_р_._-;_-* &quot;-&quot;??_р_._-;_-@_-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Ведение учёта и составление бюджетной отчётности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Единая дежурно-диспетчерская служба Тайшетского района</c:v>
                </c:pt>
                <c:pt idx="2">
                  <c:v>Управление образования администрации Тайшетского района</c:v>
                </c:pt>
                <c:pt idx="3">
                  <c:v>Управленик культуры, спорта и молодежной политики администрации Тайшетского района</c:v>
                </c:pt>
                <c:pt idx="4">
                  <c:v>Администрация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Тайшетского района</c:v>
                </c:pt>
                <c:pt idx="7">
                  <c:v>Финансовое управление администрации Тайшетского района</c:v>
                </c:pt>
                <c:pt idx="8">
                  <c:v>Контрольно-счетная палата района</c:v>
                </c:pt>
                <c:pt idx="9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</c:strCache>
            </c:strRef>
          </c:cat>
          <c:val>
            <c:numRef>
              <c:f>Лист1!$C$7:$L$7</c:f>
              <c:numCache>
                <c:formatCode>#,##0.00</c:formatCode>
                <c:ptCount val="10"/>
                <c:pt idx="0" formatCode="_-* #,##0.00_р_._-;\-* #,##0.00_р_._-;_-* &quot;-&quot;??_р_._-;_-@_-">
                  <c:v>3</c:v>
                </c:pt>
                <c:pt idx="1">
                  <c:v>5</c:v>
                </c:pt>
                <c:pt idx="2" formatCode="_-* #,##0.00_р_._-;\-* #,##0.00_р_._-;_-* &quot;-&quot;??_р_._-;_-@_-">
                  <c:v>4.5999999999999996</c:v>
                </c:pt>
                <c:pt idx="3" formatCode="_-* #,##0.00_р_._-;\-* #,##0.00_р_._-;_-* &quot;-&quot;??_р_._-;_-@_-">
                  <c:v>4.5999999999999996</c:v>
                </c:pt>
                <c:pt idx="4" formatCode="_-* #,##0.00_р_._-;\-* #,##0.00_р_._-;_-* &quot;-&quot;??_р_._-;_-@_-">
                  <c:v>4.75</c:v>
                </c:pt>
                <c:pt idx="5" formatCode="_-* #,##0.00_р_._-;\-* #,##0.00_р_._-;_-* &quot;-&quot;??_р_._-;_-@_-">
                  <c:v>5</c:v>
                </c:pt>
                <c:pt idx="6" formatCode="_-* #,##0.00_р_._-;\-* #,##0.00_р_._-;_-* &quot;-&quot;??_р_._-;_-@_-">
                  <c:v>5</c:v>
                </c:pt>
                <c:pt idx="7" formatCode="_-* #,##0.00_р_._-;\-* #,##0.00_р_._-;_-* &quot;-&quot;??_р_._-;_-@_-">
                  <c:v>4.75</c:v>
                </c:pt>
                <c:pt idx="8" formatCode="_-* #,##0.00_р_._-;\-* #,##0.00_р_._-;_-* &quot;-&quot;??_р_._-;_-@_-">
                  <c:v>5</c:v>
                </c:pt>
                <c:pt idx="9" formatCode="_-* #,##0.00_р_._-;\-* #,##0.00_р_._-;_-* &quot;-&quot;??_р_._-;_-@_-">
                  <c:v>4.75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Организация и осуществление внутреннего финансового аудита и внутреннего финансового контроля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Лист1!$C$4:$L$4</c:f>
              <c:strCache>
                <c:ptCount val="10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Единая дежурно-диспетчерская служба Тайшетского района</c:v>
                </c:pt>
                <c:pt idx="2">
                  <c:v>Управление образования администрации Тайшетского района</c:v>
                </c:pt>
                <c:pt idx="3">
                  <c:v>Управленик культуры, спорта и молодежной политики администрации Тайшетского района</c:v>
                </c:pt>
                <c:pt idx="4">
                  <c:v>Администрация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Тайшетского района</c:v>
                </c:pt>
                <c:pt idx="7">
                  <c:v>Финансовое управление администрации Тайшетского района</c:v>
                </c:pt>
                <c:pt idx="8">
                  <c:v>Контрольно-счетная палата района</c:v>
                </c:pt>
                <c:pt idx="9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</c:strCache>
            </c:strRef>
          </c:cat>
          <c:val>
            <c:numRef>
              <c:f>Лист1!$C$8:$L$8</c:f>
              <c:numCache>
                <c:formatCode>#,##0.00</c:formatCode>
                <c:ptCount val="10"/>
                <c:pt idx="0" formatCode="_-* #,##0.00_р_._-;\-* #,##0.00_р_._-;_-* &quot;-&quot;??_р_._-;_-@_-">
                  <c:v>1.5</c:v>
                </c:pt>
                <c:pt idx="1">
                  <c:v>3</c:v>
                </c:pt>
                <c:pt idx="2" formatCode="_-* #,##0.00_р_._-;\-* #,##0.00_р_._-;_-* &quot;-&quot;??_р_._-;_-@_-">
                  <c:v>2.5</c:v>
                </c:pt>
                <c:pt idx="3" formatCode="_-* #,##0.00_р_._-;\-* #,##0.00_р_._-;_-* &quot;-&quot;??_р_._-;_-@_-">
                  <c:v>1.5</c:v>
                </c:pt>
                <c:pt idx="4" formatCode="_-* #,##0.00_р_._-;\-* #,##0.00_р_._-;_-* &quot;-&quot;??_р_._-;_-@_-">
                  <c:v>3</c:v>
                </c:pt>
                <c:pt idx="5" formatCode="_-* #,##0.00_р_._-;\-* #,##0.00_р_._-;_-* &quot;-&quot;??_р_._-;_-@_-">
                  <c:v>3</c:v>
                </c:pt>
                <c:pt idx="6" formatCode="_-* #,##0.00_р_._-;\-* #,##0.00_р_._-;_-* &quot;-&quot;??_р_._-;_-@_-">
                  <c:v>3</c:v>
                </c:pt>
                <c:pt idx="7" formatCode="_-* #,##0.00_р_._-;\-* #,##0.00_р_._-;_-* &quot;-&quot;??_р_._-;_-@_-">
                  <c:v>5</c:v>
                </c:pt>
                <c:pt idx="8" formatCode="_-* #,##0.00_р_._-;\-* #,##0.00_р_._-;_-* &quot;-&quot;??_р_._-;_-@_-">
                  <c:v>3</c:v>
                </c:pt>
                <c:pt idx="9" formatCode="_-* #,##0.00_р_._-;\-* #,##0.00_р_._-;_-* &quot;-&quot;??_р_._-;_-@_-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Лист1!$B$9</c:f>
              <c:strCache>
                <c:ptCount val="1"/>
                <c:pt idx="0">
                  <c:v>Управление активами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Лист1!$C$4:$L$4</c:f>
              <c:strCache>
                <c:ptCount val="10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Единая дежурно-диспетчерская служба Тайшетского района</c:v>
                </c:pt>
                <c:pt idx="2">
                  <c:v>Управление образования администрации Тайшетского района</c:v>
                </c:pt>
                <c:pt idx="3">
                  <c:v>Управленик культуры, спорта и молодежной политики администрации Тайшетского района</c:v>
                </c:pt>
                <c:pt idx="4">
                  <c:v>Администрация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Тайшетского района</c:v>
                </c:pt>
                <c:pt idx="7">
                  <c:v>Финансовое управление администрации Тайшетского района</c:v>
                </c:pt>
                <c:pt idx="8">
                  <c:v>Контрольно-счетная палата района</c:v>
                </c:pt>
                <c:pt idx="9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</c:strCache>
            </c:strRef>
          </c:cat>
          <c:val>
            <c:numRef>
              <c:f>Лист1!$C$9:$L$9</c:f>
              <c:numCache>
                <c:formatCode>#,##0.00</c:formatCode>
                <c:ptCount val="10"/>
                <c:pt idx="0" formatCode="_-* #,##0.00_р_._-;\-* #,##0.00_р_._-;_-* &quot;-&quot;??_р_._-;_-@_-">
                  <c:v>5</c:v>
                </c:pt>
                <c:pt idx="1">
                  <c:v>5</c:v>
                </c:pt>
                <c:pt idx="2" formatCode="_-* #,##0.00_р_._-;\-* #,##0.00_р_._-;_-* &quot;-&quot;??_р_._-;_-@_-">
                  <c:v>5</c:v>
                </c:pt>
                <c:pt idx="3" formatCode="_-* #,##0.00_р_._-;\-* #,##0.00_р_._-;_-* &quot;-&quot;??_р_._-;_-@_-">
                  <c:v>5</c:v>
                </c:pt>
                <c:pt idx="4" formatCode="_-* #,##0.00_р_._-;\-* #,##0.00_р_._-;_-* &quot;-&quot;??_р_._-;_-@_-">
                  <c:v>5</c:v>
                </c:pt>
                <c:pt idx="5" formatCode="_-* #,##0.00_р_._-;\-* #,##0.00_р_._-;_-* &quot;-&quot;??_р_._-;_-@_-">
                  <c:v>5</c:v>
                </c:pt>
                <c:pt idx="6" formatCode="_-* #,##0.00_р_._-;\-* #,##0.00_р_._-;_-* &quot;-&quot;??_р_._-;_-@_-">
                  <c:v>5</c:v>
                </c:pt>
                <c:pt idx="7" formatCode="_-* #,##0.00_р_._-;\-* #,##0.00_р_._-;_-* &quot;-&quot;??_р_._-;_-@_-">
                  <c:v>5</c:v>
                </c:pt>
                <c:pt idx="8" formatCode="_-* #,##0.00_р_._-;\-* #,##0.00_р_._-;_-* &quot;-&quot;??_р_._-;_-@_-">
                  <c:v>5</c:v>
                </c:pt>
                <c:pt idx="9" formatCode="_-* #,##0.00_р_._-;\-* #,##0.00_р_._-;_-* &quot;-&quot;??_р_._-;_-@_-">
                  <c:v>5</c:v>
                </c:pt>
              </c:numCache>
            </c:numRef>
          </c:val>
        </c:ser>
        <c:ser>
          <c:idx val="5"/>
          <c:order val="5"/>
          <c:tx>
            <c:strRef>
              <c:f>Лист1!$B$10</c:f>
              <c:strCache>
                <c:ptCount val="1"/>
                <c:pt idx="0">
                  <c:v>Исполнение бюджетных процедур во взаимосвязи с выявленными бюджетными нарушениями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927015666794039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</c:extLst>
            </c:dLbl>
            <c:dLbl>
              <c:idx val="2"/>
              <c:layout>
                <c:manualLayout>
                  <c:x val="4.298815437523882E-2"/>
                  <c:y val="2.8220685762662999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664426117541572E-2"/>
                      <c:h val="2.7098969056129168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Лист1!$C$4:$L$4</c:f>
              <c:strCache>
                <c:ptCount val="10"/>
                <c:pt idx="0">
                  <c:v>Комитет по управлению муниципальным имуществом, строительству, архитектуре и жилищно-коммунальному хозяйству администрации Тайшетского района</c:v>
                </c:pt>
                <c:pt idx="1">
                  <c:v>Единая дежурно-диспетчерская служба Тайшетского района</c:v>
                </c:pt>
                <c:pt idx="2">
                  <c:v>Управление образования администрации Тайшетского района</c:v>
                </c:pt>
                <c:pt idx="3">
                  <c:v>Управленик культуры, спорта и молодежной политики администрации Тайшетского района</c:v>
                </c:pt>
                <c:pt idx="4">
                  <c:v>Администрация района</c:v>
                </c:pt>
                <c:pt idx="5">
                  <c:v>Служба гражданской обороны и предупреждения чрезвычайных ситуаций</c:v>
                </c:pt>
                <c:pt idx="6">
                  <c:v>Дума Тайшетского района</c:v>
                </c:pt>
                <c:pt idx="7">
                  <c:v>Финансовое управление администрации Тайшетского района</c:v>
                </c:pt>
                <c:pt idx="8">
                  <c:v>Контрольно-счетная палата района</c:v>
                </c:pt>
                <c:pt idx="9">
                  <c:v>Отдел по предоставлению гражданам субсидий на оплату жилья и коммунальных услуг администрации Тайшетского района</c:v>
                </c:pt>
              </c:strCache>
            </c:strRef>
          </c:cat>
          <c:val>
            <c:numRef>
              <c:f>Лист1!$C$10:$L$10</c:f>
              <c:numCache>
                <c:formatCode>#,##0.00</c:formatCode>
                <c:ptCount val="10"/>
                <c:pt idx="0" formatCode="#,##0.00_ ;\-#,##0.00\ ">
                  <c:v>0</c:v>
                </c:pt>
                <c:pt idx="1">
                  <c:v>0</c:v>
                </c:pt>
                <c:pt idx="2" formatCode="_-* #,##0.00_р_._-;\-* #,##0.00_р_._-;_-* &quot;-&quot;??_р_._-;_-@_-">
                  <c:v>0</c:v>
                </c:pt>
                <c:pt idx="3" formatCode="#,##0.00_ ;\-#,##0.00\ ">
                  <c:v>5</c:v>
                </c:pt>
                <c:pt idx="4" formatCode="_-* #,##0.00_р_._-;\-* #,##0.00_р_._-;_-* &quot;-&quot;??_р_._-;_-@_-">
                  <c:v>0</c:v>
                </c:pt>
                <c:pt idx="5" formatCode="_-* #,##0.00_р_._-;\-* #,##0.00_р_._-;_-* &quot;-&quot;??_р_._-;_-@_-">
                  <c:v>0</c:v>
                </c:pt>
                <c:pt idx="6" formatCode="_-* #,##0.00_р_._-;\-* #,##0.00_р_._-;_-* &quot;-&quot;??_р_._-;_-@_-">
                  <c:v>0</c:v>
                </c:pt>
                <c:pt idx="7" formatCode="_-* #,##0.00_р_._-;\-* #,##0.00_р_._-;_-* &quot;-&quot;??_р_._-;_-@_-">
                  <c:v>0</c:v>
                </c:pt>
                <c:pt idx="8" formatCode="_-* #,##0.00_р_._-;\-* #,##0.00_р_._-;_-* &quot;-&quot;??_р_._-;_-@_-">
                  <c:v>0</c:v>
                </c:pt>
                <c:pt idx="9" formatCode="_-* #,##0.00_р_._-;\-* #,##0.00_р_._-;_-* &quot;-&quot;??_р_._-;_-@_-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74837200"/>
        <c:axId val="439985104"/>
      </c:barChart>
      <c:catAx>
        <c:axId val="574837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39985104"/>
        <c:crosses val="autoZero"/>
        <c:auto val="1"/>
        <c:lblAlgn val="ctr"/>
        <c:lblOffset val="100"/>
        <c:tickLblSkip val="1"/>
        <c:noMultiLvlLbl val="0"/>
      </c:catAx>
      <c:valAx>
        <c:axId val="439985104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574837200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5.9385182889586267E-2"/>
          <c:y val="0.82875985251716555"/>
          <c:w val="0.93870424253909857"/>
          <c:h val="0.12680134606079271"/>
        </c:manualLayout>
      </c:layout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0.86126</cdr:x>
      <cdr:y>0.03975</cdr:y>
    </cdr:from>
    <cdr:to>
      <cdr:x>0.9414</cdr:x>
      <cdr:y>0.07863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5724940" y="357809"/>
          <a:ext cx="532738" cy="3498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4,15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</cdr:x>
      <cdr:y>0</cdr:y>
    </cdr:from>
    <cdr:to>
      <cdr:x>0.00236</cdr:x>
      <cdr:y>0.00367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0.91269</cdr:x>
      <cdr:y>0.1228</cdr:y>
    </cdr:from>
    <cdr:to>
      <cdr:x>1</cdr:x>
      <cdr:y>0.17012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6066845" y="1105232"/>
          <a:ext cx="580335" cy="4259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4,00</a:t>
          </a:r>
        </a:p>
      </cdr:txBody>
    </cdr:sp>
  </cdr:relSizeAnchor>
  <cdr:relSizeAnchor xmlns:cdr="http://schemas.openxmlformats.org/drawingml/2006/chartDrawing">
    <cdr:from>
      <cdr:x>0.93901</cdr:x>
      <cdr:y>0.20496</cdr:y>
    </cdr:from>
    <cdr:to>
      <cdr:x>0.99164</cdr:x>
      <cdr:y>0.25994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6241774" y="1844703"/>
          <a:ext cx="349857" cy="4948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3,94</a:t>
          </a:r>
        </a:p>
      </cdr:txBody>
    </cdr:sp>
  </cdr:relSizeAnchor>
  <cdr:relSizeAnchor xmlns:cdr="http://schemas.openxmlformats.org/drawingml/2006/chartDrawing">
    <cdr:from>
      <cdr:x>0.76556</cdr:x>
      <cdr:y>0.77477</cdr:y>
    </cdr:from>
    <cdr:to>
      <cdr:x>0.86406</cdr:x>
      <cdr:y>0.81364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088835" y="6973294"/>
          <a:ext cx="654727" cy="3498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2,62</a:t>
          </a:r>
        </a:p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0.90432</cdr:x>
      <cdr:y>0.28535</cdr:y>
    </cdr:from>
    <cdr:to>
      <cdr:x>0.96772</cdr:x>
      <cdr:y>0.35136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6011185" y="2568273"/>
          <a:ext cx="421419" cy="5941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3,74</a:t>
          </a:r>
        </a:p>
      </cdr:txBody>
    </cdr:sp>
  </cdr:relSizeAnchor>
  <cdr:relSizeAnchor xmlns:cdr="http://schemas.openxmlformats.org/drawingml/2006/chartDrawing">
    <cdr:from>
      <cdr:x>0.90671</cdr:x>
      <cdr:y>0.60957</cdr:y>
    </cdr:from>
    <cdr:to>
      <cdr:x>0.9749</cdr:x>
      <cdr:y>0.64314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6027089" y="5486401"/>
          <a:ext cx="453223" cy="302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3,62</a:t>
          </a:r>
        </a:p>
      </cdr:txBody>
    </cdr:sp>
  </cdr:relSizeAnchor>
  <cdr:relSizeAnchor xmlns:cdr="http://schemas.openxmlformats.org/drawingml/2006/chartDrawing">
    <cdr:from>
      <cdr:x>0.86979</cdr:x>
      <cdr:y>0.40621</cdr:y>
    </cdr:from>
    <cdr:to>
      <cdr:x>0.93857</cdr:x>
      <cdr:y>0.44278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781675" y="3656089"/>
          <a:ext cx="457200" cy="3291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0.89116</cdr:x>
      <cdr:y>0.44702</cdr:y>
    </cdr:from>
    <cdr:to>
      <cdr:x>0.94952</cdr:x>
      <cdr:y>0.5334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5923722" y="4023360"/>
          <a:ext cx="387908" cy="7775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3,74</a:t>
          </a:r>
        </a:p>
      </cdr:txBody>
    </cdr:sp>
  </cdr:relSizeAnchor>
  <cdr:relSizeAnchor xmlns:cdr="http://schemas.openxmlformats.org/drawingml/2006/chartDrawing">
    <cdr:from>
      <cdr:x>0.92705</cdr:x>
      <cdr:y>0.52741</cdr:y>
    </cdr:from>
    <cdr:to>
      <cdr:x>0.98207</cdr:x>
      <cdr:y>0.62989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6162261" y="4746930"/>
          <a:ext cx="365735" cy="9223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3,65</a:t>
          </a:r>
        </a:p>
      </cdr:txBody>
    </cdr:sp>
  </cdr:relSizeAnchor>
  <cdr:relSizeAnchor xmlns:cdr="http://schemas.openxmlformats.org/drawingml/2006/chartDrawing">
    <cdr:from>
      <cdr:x>0.90432</cdr:x>
      <cdr:y>0.36486</cdr:y>
    </cdr:from>
    <cdr:to>
      <cdr:x>1</cdr:x>
      <cdr:y>0.43918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011186" y="3283890"/>
          <a:ext cx="635994" cy="66894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3,87</a:t>
          </a:r>
        </a:p>
        <a:p xmlns:a="http://schemas.openxmlformats.org/drawingml/2006/main"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0.90193</cdr:x>
      <cdr:y>0.68996</cdr:y>
    </cdr:from>
    <cdr:to>
      <cdr:x>1</cdr:x>
      <cdr:y>0.72441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5995284" y="6209970"/>
          <a:ext cx="651896" cy="3101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solidFill>
            <a:schemeClr val="bg1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</a:rPr>
            <a:t>3,41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C042-9787-4233-84C9-7FD65E4D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55</cp:revision>
  <dcterms:created xsi:type="dcterms:W3CDTF">2017-03-30T07:51:00Z</dcterms:created>
  <dcterms:modified xsi:type="dcterms:W3CDTF">2023-06-01T07:27:00Z</dcterms:modified>
</cp:coreProperties>
</file>