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44AFC" w:rsidRPr="00144AFC" w14:paraId="1AAC33D3" w14:textId="77777777" w:rsidTr="00144AFC">
        <w:tc>
          <w:tcPr>
            <w:tcW w:w="9570" w:type="dxa"/>
          </w:tcPr>
          <w:p w14:paraId="1DAD413B" w14:textId="77777777" w:rsidR="00144AFC" w:rsidRPr="00144AFC" w:rsidRDefault="00144AFC" w:rsidP="00144AFC">
            <w:pPr>
              <w:keepNext/>
              <w:spacing w:after="0" w:line="184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144A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49EE23" wp14:editId="34419167">
                  <wp:extent cx="542925" cy="685800"/>
                  <wp:effectExtent l="19050" t="0" r="9525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AFC" w:rsidRPr="00144AFC" w14:paraId="3209AC6F" w14:textId="77777777" w:rsidTr="00144AFC">
        <w:tc>
          <w:tcPr>
            <w:tcW w:w="9570" w:type="dxa"/>
          </w:tcPr>
          <w:p w14:paraId="5B4CF2C1" w14:textId="77777777" w:rsidR="00144AFC" w:rsidRPr="00144AFC" w:rsidRDefault="00144AFC" w:rsidP="0014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AF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144AFC" w:rsidRPr="00144AFC" w14:paraId="3827348A" w14:textId="77777777" w:rsidTr="00144AFC">
        <w:tc>
          <w:tcPr>
            <w:tcW w:w="9570" w:type="dxa"/>
          </w:tcPr>
          <w:p w14:paraId="3828DB64" w14:textId="77777777" w:rsidR="00144AFC" w:rsidRPr="00144AFC" w:rsidRDefault="00144AFC" w:rsidP="0014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144AF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Черемховское районное муниципальное образование</w:t>
            </w:r>
          </w:p>
          <w:p w14:paraId="12756698" w14:textId="77777777" w:rsidR="00144AFC" w:rsidRPr="00144AFC" w:rsidRDefault="00144AFC" w:rsidP="0014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144AFC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АДМИНИСТРАЦИЯ</w:t>
            </w:r>
          </w:p>
          <w:p w14:paraId="3CED91D6" w14:textId="77777777" w:rsidR="00144AFC" w:rsidRPr="00144AFC" w:rsidRDefault="00144AFC" w:rsidP="0014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</w:p>
          <w:p w14:paraId="01009690" w14:textId="77777777" w:rsidR="00144AFC" w:rsidRPr="00144AFC" w:rsidRDefault="00144AFC" w:rsidP="0014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ru-RU"/>
              </w:rPr>
            </w:pPr>
          </w:p>
          <w:p w14:paraId="0E9CC14C" w14:textId="77777777" w:rsidR="00144AFC" w:rsidRPr="00144AFC" w:rsidRDefault="00144AFC" w:rsidP="00144AFC">
            <w:pPr>
              <w:keepNext/>
              <w:spacing w:after="0" w:line="204" w:lineRule="auto"/>
              <w:ind w:hanging="72"/>
              <w:jc w:val="center"/>
              <w:outlineLvl w:val="2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144AFC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П О С Т А Н О В Л Е Н И Е</w:t>
            </w:r>
          </w:p>
          <w:p w14:paraId="2EB02FD1" w14:textId="77777777" w:rsidR="00144AFC" w:rsidRPr="00144AFC" w:rsidRDefault="00144AFC" w:rsidP="0014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3175887" w14:textId="77777777" w:rsidR="00144AFC" w:rsidRPr="00144AFC" w:rsidRDefault="00144AFC" w:rsidP="00144AFC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144AFC" w:rsidRPr="00E841A8" w14:paraId="1D395DE7" w14:textId="77777777" w:rsidTr="00144AFC">
        <w:tc>
          <w:tcPr>
            <w:tcW w:w="4785" w:type="dxa"/>
          </w:tcPr>
          <w:p w14:paraId="41AC12A7" w14:textId="042512C0" w:rsidR="00144AFC" w:rsidRPr="00E841A8" w:rsidRDefault="00E841A8" w:rsidP="0014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4683" w:type="dxa"/>
          </w:tcPr>
          <w:p w14:paraId="015461D2" w14:textId="2A304381" w:rsidR="00144AFC" w:rsidRPr="00E841A8" w:rsidRDefault="00144AFC" w:rsidP="00144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4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B0789" w:rsidRPr="00E84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942-п</w:t>
            </w:r>
          </w:p>
        </w:tc>
      </w:tr>
      <w:tr w:rsidR="00144AFC" w:rsidRPr="00144AFC" w14:paraId="6F313623" w14:textId="77777777" w:rsidTr="00144AFC">
        <w:tc>
          <w:tcPr>
            <w:tcW w:w="9468" w:type="dxa"/>
            <w:gridSpan w:val="2"/>
          </w:tcPr>
          <w:p w14:paraId="329A941F" w14:textId="1D4D0B3F" w:rsidR="00144AFC" w:rsidRPr="00144AFC" w:rsidRDefault="00144AFC" w:rsidP="0014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4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Черемхово</w:t>
            </w:r>
          </w:p>
        </w:tc>
      </w:tr>
    </w:tbl>
    <w:p w14:paraId="4DF6C47D" w14:textId="77777777" w:rsidR="00144AFC" w:rsidRPr="00144AFC" w:rsidRDefault="00144AFC" w:rsidP="00144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144AFC" w:rsidRPr="00144AFC" w14:paraId="727E1BBF" w14:textId="77777777" w:rsidTr="00144AFC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7C44B26E" w14:textId="0C954F6E" w:rsidR="00144AFC" w:rsidRPr="00144AFC" w:rsidRDefault="00144AFC" w:rsidP="00144AFC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="00A80E29" w:rsidRPr="00A80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утверждении прогноза социально-экономического развития Черемховского районного муниципального образования на период до 203</w:t>
            </w:r>
            <w:r w:rsidR="00A80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80E29" w:rsidRPr="00A80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6AFB5CE7" w14:textId="77777777" w:rsidR="00144AFC" w:rsidRPr="00144AFC" w:rsidRDefault="00144AFC" w:rsidP="00144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61E2F" w14:textId="192A34B2" w:rsidR="00144AFC" w:rsidRPr="00144AFC" w:rsidRDefault="00144AFC" w:rsidP="00F50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5494798"/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173 Бюджетного кодекса Р</w:t>
      </w:r>
      <w:r w:rsidR="00FA0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</w:t>
      </w:r>
      <w:r w:rsidR="00A80E2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7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от 28 июня 2014 года № 172-ФЗ «О стратегическом планировании в Российской Федерации», </w:t>
      </w:r>
      <w:r w:rsidR="00F50134"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F5013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50134"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разработки и корректировки прогнозов социально-экономического развития Черемховского районного муниципального образования на среднесрочный и долгосрочный периоды»</w:t>
      </w:r>
      <w:r w:rsidR="00F5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Черемховского районного муниципального образования от 30 декабря 2015 года №</w:t>
      </w:r>
      <w:r w:rsidR="00E703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552, руководствуясь статьями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bookmarkEnd w:id="0"/>
    <w:p w14:paraId="79E0B674" w14:textId="77777777" w:rsidR="00144AFC" w:rsidRPr="00144AFC" w:rsidRDefault="00144AFC" w:rsidP="00144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487FC" w14:textId="77777777" w:rsidR="00144AFC" w:rsidRPr="00144AFC" w:rsidRDefault="00144AFC" w:rsidP="0014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14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AA1B486" w14:textId="77777777" w:rsidR="00144AFC" w:rsidRPr="00144AFC" w:rsidRDefault="00144AFC" w:rsidP="00144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1FF28A" w14:textId="58338A9F" w:rsidR="00E7038A" w:rsidRPr="00E7038A" w:rsidRDefault="00E7038A" w:rsidP="005B723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8A">
        <w:rPr>
          <w:rFonts w:ascii="Times New Roman" w:eastAsia="Times New Roman" w:hAnsi="Times New Roman"/>
          <w:sz w:val="28"/>
          <w:szCs w:val="28"/>
          <w:lang w:eastAsia="ru-RU"/>
        </w:rPr>
        <w:t>Утвердить прогноз социально-экономического развития Черемховского районного муниципального образования на период до 2036 года (прилагается).</w:t>
      </w:r>
    </w:p>
    <w:p w14:paraId="0EE73D9E" w14:textId="546229B7" w:rsidR="00E7038A" w:rsidRPr="00E7038A" w:rsidRDefault="00E7038A" w:rsidP="005B723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8A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Черемховского районного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 декабря 2017 года №</w:t>
      </w:r>
      <w:r w:rsidR="00E84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719 «</w:t>
      </w:r>
      <w:r w:rsidRPr="00E7038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прогноза социально-экономического развития Черемховского районного муниципального образования на период до 203</w:t>
      </w:r>
      <w:r w:rsidR="005B723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7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FA3F2B2" w14:textId="08B3FB3A" w:rsidR="005B7236" w:rsidRDefault="00144AFC" w:rsidP="005B723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236">
        <w:rPr>
          <w:rFonts w:ascii="Times New Roman" w:eastAsia="Times New Roman" w:hAnsi="Times New Roman"/>
          <w:sz w:val="28"/>
          <w:szCs w:val="28"/>
          <w:lang w:eastAsia="ru-RU"/>
        </w:rPr>
        <w:t>Отделу организационной работы (</w:t>
      </w:r>
      <w:proofErr w:type="spellStart"/>
      <w:r w:rsidRPr="005B7236">
        <w:rPr>
          <w:rFonts w:ascii="Times New Roman" w:eastAsia="Times New Roman" w:hAnsi="Times New Roman"/>
          <w:sz w:val="28"/>
          <w:szCs w:val="28"/>
          <w:lang w:eastAsia="ru-RU"/>
        </w:rPr>
        <w:t>Коломеец</w:t>
      </w:r>
      <w:proofErr w:type="spellEnd"/>
      <w:r w:rsidRPr="005B7236">
        <w:rPr>
          <w:rFonts w:ascii="Times New Roman" w:eastAsia="Times New Roman" w:hAnsi="Times New Roman"/>
          <w:sz w:val="28"/>
          <w:szCs w:val="28"/>
          <w:lang w:eastAsia="ru-RU"/>
        </w:rPr>
        <w:t xml:space="preserve"> Ю.А.)</w:t>
      </w:r>
      <w:r w:rsidR="005B7236" w:rsidRPr="005B723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BB99F62" w14:textId="6E31E706" w:rsidR="005B7236" w:rsidRPr="005B7236" w:rsidRDefault="005B7236" w:rsidP="005B7236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236">
        <w:rPr>
          <w:rFonts w:ascii="Times New Roman" w:eastAsia="Times New Roman" w:hAnsi="Times New Roman"/>
          <w:sz w:val="28"/>
          <w:szCs w:val="28"/>
          <w:lang w:eastAsia="ru-RU"/>
        </w:rPr>
        <w:t>внести информационную справку в оригинал постановления администрации Черемховского районного муниципального образования от 1 декабря 2017 года № 719 «Об утверждении прогноза социально-экономического развития Черемховского районного муниципального образования на период до 203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B72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7236">
        <w:rPr>
          <w:rFonts w:ascii="Times New Roman" w:eastAsia="Times New Roman" w:hAnsi="Times New Roman"/>
          <w:sz w:val="28"/>
          <w:szCs w:val="28"/>
          <w:lang w:eastAsia="ru-RU"/>
        </w:rPr>
        <w:t>о дате признания его утратившим силу настоящим постановлением;</w:t>
      </w:r>
    </w:p>
    <w:p w14:paraId="317EDBE5" w14:textId="4AFF857F" w:rsidR="00144AFC" w:rsidRPr="005B7236" w:rsidRDefault="00144AFC" w:rsidP="005B7236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2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опубликовать настоящее постановление в газете «Моё село, край Черемховский» и разместить на официальном сайте Черемховского районного муниципального образования.</w:t>
      </w:r>
    </w:p>
    <w:p w14:paraId="6AC69E61" w14:textId="77777777" w:rsidR="00144AFC" w:rsidRPr="00144AFC" w:rsidRDefault="00144AFC" w:rsidP="005B72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возложить на первого заместителя мэра Артёмова Е.А.</w:t>
      </w:r>
    </w:p>
    <w:p w14:paraId="60B6E64C" w14:textId="77777777" w:rsidR="00144AFC" w:rsidRPr="00144AFC" w:rsidRDefault="00144AFC" w:rsidP="005B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DE393" w14:textId="54E7216E" w:rsidR="00144AFC" w:rsidRDefault="00144AFC" w:rsidP="0014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A4B88" w14:textId="77777777" w:rsidR="00E841A8" w:rsidRPr="00144AFC" w:rsidRDefault="00E841A8" w:rsidP="0014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6225A" w14:textId="164D7C73" w:rsidR="00144AFC" w:rsidRDefault="003F3314" w:rsidP="0014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4AFC"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="00F81F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4AFC" w:rsidRPr="0014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841A8">
        <w:rPr>
          <w:rFonts w:ascii="Times New Roman" w:eastAsia="Times New Roman" w:hAnsi="Times New Roman" w:cs="Times New Roman"/>
          <w:spacing w:val="6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Марач</w:t>
      </w:r>
      <w:proofErr w:type="spellEnd"/>
    </w:p>
    <w:p w14:paraId="71ADA893" w14:textId="5A952B2D" w:rsidR="00357B42" w:rsidRDefault="00357B42" w:rsidP="0014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7B42" w:rsidSect="00E841A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AAF2AA5" w14:textId="77777777" w:rsidR="00E841A8" w:rsidRPr="00E841A8" w:rsidRDefault="00E841A8" w:rsidP="00E841A8">
      <w:pPr>
        <w:pStyle w:val="a5"/>
        <w:jc w:val="right"/>
        <w:rPr>
          <w:rFonts w:ascii="Times New Roman" w:hAnsi="Times New Roman"/>
        </w:rPr>
      </w:pPr>
      <w:r w:rsidRPr="00E841A8">
        <w:rPr>
          <w:rFonts w:ascii="Times New Roman" w:hAnsi="Times New Roman"/>
        </w:rPr>
        <w:lastRenderedPageBreak/>
        <w:t>Утвержден</w:t>
      </w:r>
    </w:p>
    <w:p w14:paraId="5D03FE64" w14:textId="77777777" w:rsidR="00E841A8" w:rsidRPr="00E841A8" w:rsidRDefault="00E841A8" w:rsidP="00E841A8">
      <w:pPr>
        <w:pStyle w:val="a5"/>
        <w:jc w:val="right"/>
        <w:rPr>
          <w:rFonts w:ascii="Times New Roman" w:hAnsi="Times New Roman"/>
        </w:rPr>
      </w:pPr>
      <w:r w:rsidRPr="00E841A8">
        <w:rPr>
          <w:rFonts w:ascii="Times New Roman" w:hAnsi="Times New Roman"/>
        </w:rPr>
        <w:t>постановлением администрации</w:t>
      </w:r>
    </w:p>
    <w:p w14:paraId="7D43253B" w14:textId="77777777" w:rsidR="00E841A8" w:rsidRPr="00E841A8" w:rsidRDefault="00E841A8" w:rsidP="00E841A8">
      <w:pPr>
        <w:pStyle w:val="a5"/>
        <w:jc w:val="right"/>
        <w:rPr>
          <w:rFonts w:ascii="Times New Roman" w:hAnsi="Times New Roman"/>
        </w:rPr>
      </w:pPr>
      <w:r w:rsidRPr="00E841A8">
        <w:rPr>
          <w:rFonts w:ascii="Times New Roman" w:hAnsi="Times New Roman"/>
        </w:rPr>
        <w:t>Черемховского районного</w:t>
      </w:r>
    </w:p>
    <w:p w14:paraId="13F83FA6" w14:textId="77777777" w:rsidR="00E841A8" w:rsidRPr="00E841A8" w:rsidRDefault="00E841A8" w:rsidP="00E841A8">
      <w:pPr>
        <w:pStyle w:val="a5"/>
        <w:jc w:val="right"/>
        <w:rPr>
          <w:rFonts w:ascii="Times New Roman" w:hAnsi="Times New Roman"/>
        </w:rPr>
      </w:pPr>
      <w:r w:rsidRPr="00E841A8">
        <w:rPr>
          <w:rFonts w:ascii="Times New Roman" w:hAnsi="Times New Roman"/>
        </w:rPr>
        <w:t>муниципального образования</w:t>
      </w:r>
    </w:p>
    <w:p w14:paraId="5789B169" w14:textId="3D1E0A2F" w:rsidR="00E841A8" w:rsidRPr="00E841A8" w:rsidRDefault="00E841A8" w:rsidP="00E841A8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29.12.2023 № 942-п</w:t>
      </w:r>
    </w:p>
    <w:p w14:paraId="732E0F4F" w14:textId="77777777" w:rsidR="00E841A8" w:rsidRPr="00E841A8" w:rsidRDefault="00E841A8" w:rsidP="003E57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23672E" w14:textId="140C9679" w:rsidR="0006178D" w:rsidRPr="00E841A8" w:rsidRDefault="0006178D" w:rsidP="003E5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Черемховского районного муниципального образования</w:t>
      </w:r>
      <w:r w:rsidRPr="00E841A8">
        <w:rPr>
          <w:rFonts w:ascii="Times New Roman" w:hAnsi="Times New Roman" w:cs="Times New Roman"/>
          <w:sz w:val="28"/>
          <w:szCs w:val="28"/>
        </w:rPr>
        <w:br/>
        <w:t>на период до 2036 года</w:t>
      </w:r>
      <w:r w:rsidR="00E841A8" w:rsidRPr="00E841A8">
        <w:rPr>
          <w:noProof/>
        </w:rPr>
        <w:drawing>
          <wp:anchor distT="0" distB="0" distL="114300" distR="114300" simplePos="0" relativeHeight="251658240" behindDoc="0" locked="0" layoutInCell="1" allowOverlap="1" wp14:anchorId="41F54CD7" wp14:editId="7F3FAC83">
            <wp:simplePos x="0" y="0"/>
            <wp:positionH relativeFrom="column">
              <wp:posOffset>635</wp:posOffset>
            </wp:positionH>
            <wp:positionV relativeFrom="paragraph">
              <wp:posOffset>443230</wp:posOffset>
            </wp:positionV>
            <wp:extent cx="9660255" cy="18764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25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1D4FBA" w14:textId="2DFB3297" w:rsidR="00357B42" w:rsidRPr="00E841A8" w:rsidRDefault="00357B42" w:rsidP="00E841A8">
      <w:pPr>
        <w:jc w:val="right"/>
      </w:pPr>
    </w:p>
    <w:p w14:paraId="371E63D2" w14:textId="77777777" w:rsidR="00F01C92" w:rsidRPr="00E841A8" w:rsidRDefault="00F01C92" w:rsidP="00E841A8">
      <w:pPr>
        <w:jc w:val="right"/>
        <w:sectPr w:rsidR="00F01C92" w:rsidRPr="00E841A8" w:rsidSect="00E841A8">
          <w:type w:val="continuous"/>
          <w:pgSz w:w="16838" w:h="11906" w:orient="landscape"/>
          <w:pgMar w:top="1134" w:right="850" w:bottom="1134" w:left="1276" w:header="709" w:footer="709" w:gutter="0"/>
          <w:cols w:space="708"/>
          <w:docGrid w:linePitch="360"/>
        </w:sectPr>
      </w:pPr>
    </w:p>
    <w:p w14:paraId="6957D0F4" w14:textId="77777777" w:rsidR="00E841A8" w:rsidRDefault="00E841A8" w:rsidP="00E841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05BE3CD" w14:textId="77777777" w:rsidR="00E841A8" w:rsidRDefault="00E841A8" w:rsidP="00E841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96700FF" w14:textId="77777777" w:rsidR="00E841A8" w:rsidRDefault="00E841A8" w:rsidP="00E841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494344" w14:textId="77777777" w:rsidR="00E841A8" w:rsidRDefault="00E841A8" w:rsidP="00E841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96824A6" w14:textId="77777777" w:rsidR="00E841A8" w:rsidRDefault="00E841A8" w:rsidP="00E841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3C0C759" w14:textId="77777777" w:rsidR="00E841A8" w:rsidRDefault="00E841A8" w:rsidP="00E841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77ACC7" w14:textId="77777777" w:rsidR="00E841A8" w:rsidRDefault="00E841A8" w:rsidP="00E841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6E7C1BE" w14:textId="77777777" w:rsidR="00E841A8" w:rsidRDefault="00E841A8" w:rsidP="00E841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36AF972" w14:textId="77777777" w:rsidR="00E841A8" w:rsidRDefault="00E841A8" w:rsidP="00E841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B97B5BD" w14:textId="77777777" w:rsidR="00E841A8" w:rsidRDefault="00E841A8" w:rsidP="00F01C92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841A8" w:rsidSect="00E841A8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E614B8B" w14:textId="4D46AE40" w:rsidR="00F01C92" w:rsidRPr="00E841A8" w:rsidRDefault="00F01C92" w:rsidP="00F01C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по основным параметрам прогноза</w:t>
      </w:r>
    </w:p>
    <w:p w14:paraId="159BE459" w14:textId="77777777" w:rsidR="00F01C92" w:rsidRPr="00E841A8" w:rsidRDefault="00F01C92" w:rsidP="00F01C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Pr="00E841A8">
        <w:rPr>
          <w:rFonts w:ascii="Times New Roman" w:hAnsi="Times New Roman"/>
          <w:sz w:val="28"/>
          <w:szCs w:val="28"/>
        </w:rPr>
        <w:t>Черемховского районного муниципального образования на период до 2036 года</w:t>
      </w:r>
    </w:p>
    <w:p w14:paraId="1893DD70" w14:textId="77777777" w:rsidR="00F01C92" w:rsidRPr="00E841A8" w:rsidRDefault="00F01C92" w:rsidP="00F01C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BA2C084" w14:textId="788BB2B5" w:rsidR="00F01C92" w:rsidRPr="00E841A8" w:rsidRDefault="00F01C92" w:rsidP="00F01C92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Черемховского районного муниципального образования на период до 2036 года (далее – долгосрочный прогноз) разработан в соответствии с Федеральн</w:t>
      </w:r>
      <w:r w:rsidR="006B63C7" w:rsidRPr="00E841A8">
        <w:rPr>
          <w:rFonts w:ascii="Times New Roman" w:hAnsi="Times New Roman" w:cs="Times New Roman"/>
          <w:sz w:val="28"/>
          <w:szCs w:val="28"/>
        </w:rPr>
        <w:t xml:space="preserve">ым </w:t>
      </w:r>
      <w:r w:rsidRPr="00E841A8">
        <w:rPr>
          <w:rFonts w:ascii="Times New Roman" w:hAnsi="Times New Roman" w:cs="Times New Roman"/>
          <w:sz w:val="28"/>
          <w:szCs w:val="28"/>
        </w:rPr>
        <w:t>закон</w:t>
      </w:r>
      <w:r w:rsidR="006B63C7" w:rsidRPr="00E841A8">
        <w:rPr>
          <w:rFonts w:ascii="Times New Roman" w:hAnsi="Times New Roman" w:cs="Times New Roman"/>
          <w:sz w:val="28"/>
          <w:szCs w:val="28"/>
        </w:rPr>
        <w:t>ом</w:t>
      </w:r>
      <w:r w:rsidRPr="00E841A8">
        <w:rPr>
          <w:rFonts w:ascii="Times New Roman" w:hAnsi="Times New Roman" w:cs="Times New Roman"/>
          <w:sz w:val="28"/>
          <w:szCs w:val="28"/>
        </w:rPr>
        <w:t xml:space="preserve"> </w:t>
      </w:r>
      <w:r w:rsidRPr="00E841A8">
        <w:rPr>
          <w:rFonts w:ascii="Times New Roman" w:eastAsia="Calibri" w:hAnsi="Times New Roman" w:cs="Times New Roman"/>
          <w:sz w:val="28"/>
          <w:szCs w:val="28"/>
        </w:rPr>
        <w:t>от</w:t>
      </w:r>
      <w:r w:rsidR="0006178D" w:rsidRPr="00E841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1A8">
        <w:rPr>
          <w:rFonts w:ascii="Times New Roman" w:eastAsia="Calibri" w:hAnsi="Times New Roman" w:cs="Times New Roman"/>
          <w:sz w:val="28"/>
          <w:szCs w:val="28"/>
        </w:rPr>
        <w:t>28</w:t>
      </w:r>
      <w:r w:rsidR="0006178D" w:rsidRPr="00E841A8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E841A8">
        <w:rPr>
          <w:rFonts w:ascii="Times New Roman" w:eastAsia="Calibri" w:hAnsi="Times New Roman" w:cs="Times New Roman"/>
          <w:sz w:val="28"/>
          <w:szCs w:val="28"/>
        </w:rPr>
        <w:t xml:space="preserve">2014 </w:t>
      </w:r>
      <w:r w:rsidR="006B63C7" w:rsidRPr="00E841A8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E841A8">
        <w:rPr>
          <w:rFonts w:ascii="Times New Roman" w:eastAsia="Calibri" w:hAnsi="Times New Roman" w:cs="Times New Roman"/>
          <w:sz w:val="28"/>
          <w:szCs w:val="28"/>
        </w:rPr>
        <w:t>№</w:t>
      </w:r>
      <w:r w:rsidRPr="00E841A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841A8">
        <w:rPr>
          <w:rFonts w:ascii="Times New Roman" w:eastAsia="Calibri" w:hAnsi="Times New Roman" w:cs="Times New Roman"/>
          <w:sz w:val="28"/>
          <w:szCs w:val="28"/>
        </w:rPr>
        <w:t>172-ФЗ «О стратегическом планировании в Российской Федерации», постановлени</w:t>
      </w:r>
      <w:r w:rsidR="006B63C7" w:rsidRPr="00E841A8">
        <w:rPr>
          <w:rFonts w:ascii="Times New Roman" w:eastAsia="Calibri" w:hAnsi="Times New Roman" w:cs="Times New Roman"/>
          <w:sz w:val="28"/>
          <w:szCs w:val="28"/>
        </w:rPr>
        <w:t>ем</w:t>
      </w:r>
      <w:r w:rsidRPr="00E841A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Pr="00E841A8">
        <w:rPr>
          <w:rFonts w:ascii="Times New Roman" w:hAnsi="Times New Roman" w:cs="Times New Roman"/>
          <w:sz w:val="28"/>
          <w:szCs w:val="28"/>
        </w:rPr>
        <w:t>Черемховского районного муниципального образования от 30</w:t>
      </w:r>
      <w:r w:rsidR="0006178D" w:rsidRPr="00E841A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841A8">
        <w:rPr>
          <w:rFonts w:ascii="Times New Roman" w:hAnsi="Times New Roman" w:cs="Times New Roman"/>
          <w:sz w:val="28"/>
          <w:szCs w:val="28"/>
        </w:rPr>
        <w:t xml:space="preserve">2015 </w:t>
      </w:r>
      <w:r w:rsidR="006B63C7" w:rsidRPr="00E841A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841A8">
        <w:rPr>
          <w:rFonts w:ascii="Times New Roman" w:hAnsi="Times New Roman" w:cs="Times New Roman"/>
          <w:sz w:val="28"/>
          <w:szCs w:val="28"/>
        </w:rPr>
        <w:t>№ 552 «Об утверждении Положения о порядке разработки и корректировки прогнозов социально-экономического развития Черемховского районного муниципального образования на среднесрочный и долгосрочный периоды».</w:t>
      </w:r>
    </w:p>
    <w:p w14:paraId="2DC075F3" w14:textId="77777777" w:rsidR="00F01C92" w:rsidRPr="00E841A8" w:rsidRDefault="00F01C92" w:rsidP="00F01C9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Долгосрочный прогноз входит в число документов системы стратегического планирования, определяет основные индикаторы социально-экономического развития муниципального образования в долгосрочной перспективе, выступает основой для разработки стратегии социально-экономического развития муниципального образования, а также прогнозных и плановых документов.</w:t>
      </w:r>
    </w:p>
    <w:p w14:paraId="4B79B7A1" w14:textId="77777777" w:rsidR="00F01C92" w:rsidRPr="00E841A8" w:rsidRDefault="00F01C92" w:rsidP="00F01C92">
      <w:pPr>
        <w:tabs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A8">
        <w:rPr>
          <w:rFonts w:ascii="Times New Roman" w:hAnsi="Times New Roman" w:cs="Times New Roman"/>
          <w:sz w:val="28"/>
          <w:szCs w:val="28"/>
        </w:rPr>
        <w:t xml:space="preserve">Долгосрочный прогноз базируется на сценарных условиях и основных </w:t>
      </w:r>
      <w:r w:rsidRPr="00E84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макроэкономических параметрах социально-экономического развития Российской Федерации и Иркутской области на среднесрочный и долгосрочный периоды.</w:t>
      </w:r>
    </w:p>
    <w:p w14:paraId="178678DA" w14:textId="77777777" w:rsidR="00F01C92" w:rsidRPr="00E841A8" w:rsidRDefault="00F01C92" w:rsidP="00F01C9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 xml:space="preserve">Исходными для разработки долгосрочного прогноза являются </w:t>
      </w:r>
      <w:r w:rsidRPr="00E841A8">
        <w:rPr>
          <w:rFonts w:ascii="Times New Roman" w:eastAsia="Calibri" w:hAnsi="Times New Roman" w:cs="Times New Roman"/>
          <w:sz w:val="28"/>
          <w:szCs w:val="28"/>
        </w:rPr>
        <w:t xml:space="preserve">основные положения Прогноза социально-экономического развития Российской Федерации на период до 2036 года, Прогноза социально-экономического развития Иркутской области на долгосрочный период до 2036 года, Прогноза </w:t>
      </w:r>
      <w:r w:rsidRPr="00E841A8">
        <w:rPr>
          <w:rFonts w:ascii="Times New Roman" w:hAnsi="Times New Roman" w:cs="Times New Roman"/>
          <w:sz w:val="28"/>
          <w:szCs w:val="28"/>
        </w:rPr>
        <w:t>социально-экономического развития Черемховского районного муниципального образования на 2024-2026 годы.</w:t>
      </w:r>
    </w:p>
    <w:p w14:paraId="1CD7031D" w14:textId="77777777" w:rsidR="00F01C92" w:rsidRPr="00E841A8" w:rsidRDefault="00F01C92" w:rsidP="00F01C92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Долгосрочный прогноз предусматривает развитие муниципального образования в условиях проявления внешних и внутренних факторов. </w:t>
      </w:r>
      <w:r w:rsidRPr="00E841A8">
        <w:rPr>
          <w:rFonts w:ascii="Times New Roman" w:eastAsia="TimesNewRomanPSMT" w:hAnsi="Times New Roman" w:cs="Times New Roman"/>
          <w:sz w:val="28"/>
          <w:szCs w:val="28"/>
          <w:lang w:eastAsia="ru-RU"/>
        </w:rPr>
        <w:t>Тенденции развития экономики национального и регионального уровня, а также внешнеэкономические условия определяют параметры внешней среды для развития Черемховского района.</w:t>
      </w:r>
      <w:r w:rsidRPr="00E841A8">
        <w:rPr>
          <w:rFonts w:ascii="Times New Roman" w:hAnsi="Times New Roman" w:cs="Times New Roman"/>
          <w:sz w:val="28"/>
          <w:szCs w:val="28"/>
        </w:rPr>
        <w:t xml:space="preserve"> </w:t>
      </w:r>
      <w:r w:rsidRPr="00E841A8">
        <w:rPr>
          <w:rFonts w:ascii="Times New Roman" w:eastAsia="TimesNewRomanPSMT" w:hAnsi="Times New Roman" w:cs="Times New Roman"/>
          <w:sz w:val="28"/>
          <w:szCs w:val="28"/>
          <w:lang w:eastAsia="ru-RU"/>
        </w:rPr>
        <w:t>Внутренние факторы связаны с особенностями экономического развития территории и спецификой стоящих перед ней целей и задач.</w:t>
      </w:r>
    </w:p>
    <w:p w14:paraId="7F9F20AF" w14:textId="77777777" w:rsidR="00F01C92" w:rsidRPr="00E841A8" w:rsidRDefault="00F01C92" w:rsidP="00F01C92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сформирован в составе двух основных вариантов: консервативного и базового.</w:t>
      </w:r>
    </w:p>
    <w:p w14:paraId="16B5DFC6" w14:textId="77777777" w:rsidR="00F01C92" w:rsidRPr="00E841A8" w:rsidRDefault="00F01C92" w:rsidP="00F01C9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Консервативный (</w:t>
      </w:r>
      <w:r w:rsidRPr="00E841A8">
        <w:rPr>
          <w:rFonts w:ascii="Times New Roman" w:eastAsia="Calibri" w:hAnsi="Times New Roman" w:cs="Times New Roman"/>
          <w:sz w:val="28"/>
          <w:szCs w:val="28"/>
        </w:rPr>
        <w:t>I</w:t>
      </w:r>
      <w:r w:rsidRPr="00E841A8">
        <w:rPr>
          <w:rFonts w:ascii="Times New Roman" w:hAnsi="Times New Roman" w:cs="Times New Roman"/>
          <w:sz w:val="28"/>
          <w:szCs w:val="28"/>
        </w:rPr>
        <w:t xml:space="preserve"> вариант) учитывает развитие экономики в условиях возможных изменений внешних и внутренних факторов, повышающих уровень </w:t>
      </w:r>
      <w:r w:rsidRPr="00E841A8">
        <w:rPr>
          <w:rFonts w:ascii="Times New Roman" w:hAnsi="Times New Roman" w:cs="Times New Roman"/>
          <w:sz w:val="28"/>
          <w:szCs w:val="28"/>
        </w:rPr>
        <w:lastRenderedPageBreak/>
        <w:t>неопределенности развития в долгосрочной перспективе, характеризуется сохранением сдержанной бюджетной политики.</w:t>
      </w:r>
    </w:p>
    <w:p w14:paraId="5A566EB1" w14:textId="77777777" w:rsidR="00F01C92" w:rsidRPr="00E841A8" w:rsidRDefault="00F01C92" w:rsidP="00F01C92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Базовый (</w:t>
      </w:r>
      <w:r w:rsidRPr="00E841A8">
        <w:rPr>
          <w:rFonts w:ascii="Times New Roman" w:eastAsia="Calibri" w:hAnsi="Times New Roman" w:cs="Times New Roman"/>
          <w:sz w:val="28"/>
          <w:szCs w:val="28"/>
        </w:rPr>
        <w:t>II</w:t>
      </w:r>
      <w:r w:rsidRPr="00E841A8">
        <w:rPr>
          <w:rFonts w:ascii="Times New Roman" w:hAnsi="Times New Roman" w:cs="Times New Roman"/>
          <w:sz w:val="28"/>
          <w:szCs w:val="28"/>
        </w:rPr>
        <w:t xml:space="preserve"> вариант) учитывает фактическую динамику основных показателей социально-экономического развития и возможности дальнейшего функционирования приоритетных сфер деятельности, предполагает стабильность и сохранение существующих тенденций. Данный</w:t>
      </w:r>
      <w:r w:rsidRPr="00E841A8">
        <w:rPr>
          <w:rStyle w:val="a7"/>
          <w:rFonts w:ascii="Times New Roman" w:eastAsia="Times New Roman" w:hAnsi="Times New Roman"/>
          <w:color w:val="000000"/>
          <w:sz w:val="28"/>
          <w:szCs w:val="28"/>
        </w:rPr>
        <w:t xml:space="preserve"> вариант долгосрочного прогноза является </w:t>
      </w:r>
      <w:r w:rsidRPr="00E841A8">
        <w:rPr>
          <w:rFonts w:ascii="Times New Roman" w:hAnsi="Times New Roman" w:cs="Times New Roman"/>
          <w:sz w:val="28"/>
          <w:szCs w:val="28"/>
        </w:rPr>
        <w:t>базовым для составления бюджетного прогноза муниципального образования на долгосрочный период.</w:t>
      </w:r>
    </w:p>
    <w:p w14:paraId="40E16C3E" w14:textId="77777777" w:rsidR="00F01C92" w:rsidRPr="00E841A8" w:rsidRDefault="00F01C92" w:rsidP="00F01C92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t>Индекс потребительских цен</w:t>
      </w:r>
    </w:p>
    <w:p w14:paraId="23026E9A" w14:textId="77777777" w:rsidR="00F01C92" w:rsidRPr="00E841A8" w:rsidRDefault="00F01C92" w:rsidP="00F01C9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Сводный индекс потребительских цен является основным индикатором инфляции и показателем динамики стоимости жизни населения. Сводный индекс потребительских цен на 2024-2036 годы спрогнозирован с учетом рекомендованного Министерством экономического развития Российской Федерации уровня инфляции в целом по Российской Федерации и в среднесрочной перспективе на 2024-2026 годы ожидается в объеме 104,3 % в консервативном варианте прогноза и 104,2 % – в базовом, в долгосрочной перспективе до 2036 года – 104 % к уровню предыдущего года по двум вариантам развития.</w:t>
      </w:r>
    </w:p>
    <w:p w14:paraId="2F59C8E3" w14:textId="77777777" w:rsidR="00F01C92" w:rsidRPr="00E841A8" w:rsidRDefault="00F01C92" w:rsidP="00F01C92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t>Объем отгруженных товаров, выполненных работ и услуг</w:t>
      </w:r>
    </w:p>
    <w:p w14:paraId="227C761F" w14:textId="77777777" w:rsidR="00F01C92" w:rsidRPr="00E841A8" w:rsidRDefault="00F01C92" w:rsidP="00F01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Одним из основных индикаторов экономической деятельности предприятий является объем отгруженных товаров, выполненных работ и услуг.</w:t>
      </w:r>
    </w:p>
    <w:p w14:paraId="1BCC4BF2" w14:textId="77777777" w:rsidR="00F01C92" w:rsidRPr="00E841A8" w:rsidRDefault="00F01C92" w:rsidP="00F01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Прогноз объема отгруженных товаров, выполненных работ и услуг сформирован на основании динамики функционирования основополагающих предприятий с учетом влияния индексов-дефляторов по основным видам экономической деятельности.</w:t>
      </w:r>
    </w:p>
    <w:p w14:paraId="078A3DBD" w14:textId="77777777" w:rsidR="00F01C92" w:rsidRPr="00E841A8" w:rsidRDefault="00F01C92" w:rsidP="00F01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В соответствии с долгосрочным прогнозом Российской Федерации до 2036 года, объем отгруженных товаров, выполненных работ и услуг в разрезе двух сценариев существенно не отличается.</w:t>
      </w:r>
    </w:p>
    <w:p w14:paraId="5D6F1F53" w14:textId="77777777" w:rsidR="00F01C92" w:rsidRPr="00E841A8" w:rsidRDefault="00F01C92" w:rsidP="00F01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Средний темп рост на период 2024-2026 годы прогнозируется в пределах 9,4 % в консервативном варианте и в пределах 9,5 % – в базовом.</w:t>
      </w:r>
    </w:p>
    <w:p w14:paraId="0B119EAE" w14:textId="77777777" w:rsidR="00F01C92" w:rsidRPr="00E841A8" w:rsidRDefault="00F01C92" w:rsidP="00F01C92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Динамика объема отгруженных товаров, выполненных работ и услуг на период 2027-2036 ожидается в пределах 104,3 % в консервативном варианте и в пределах 104,2 % – в базовом.</w:t>
      </w:r>
    </w:p>
    <w:p w14:paraId="3E011F6D" w14:textId="77777777" w:rsidR="00F01C92" w:rsidRPr="00E841A8" w:rsidRDefault="00F01C92" w:rsidP="00F01C92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К числу сфер экономической деятельности, оказывающих наиболее существенное влияние на формирование показателя, относятся сельское хозяйство, добыча полезных ископаемых и обрабатывающие производства.</w:t>
      </w:r>
    </w:p>
    <w:p w14:paraId="4C1F6480" w14:textId="77777777" w:rsidR="00F01C92" w:rsidRPr="00E841A8" w:rsidRDefault="00F01C92" w:rsidP="00F01C92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t xml:space="preserve">Для Черемховского района сельское хозяйство является отраслью, функционирование которой оказывает существенное влияние не только на деятельность сельскохозяйственных организаций и крестьянско-фермерских хозяйств, но и на экономику в целом. Основу данного сегмента экономики </w:t>
      </w:r>
      <w:r w:rsidRPr="00E841A8">
        <w:rPr>
          <w:rFonts w:ascii="Times New Roman" w:hAnsi="Times New Roman"/>
          <w:sz w:val="28"/>
          <w:szCs w:val="28"/>
        </w:rPr>
        <w:lastRenderedPageBreak/>
        <w:t>составляют два обособленных подразделения СХ АО «Белореченское»: ОПХ «Сибирь» и ОПХ «Петровское», а также ООО «</w:t>
      </w:r>
      <w:proofErr w:type="spellStart"/>
      <w:r w:rsidRPr="00E841A8">
        <w:rPr>
          <w:rFonts w:ascii="Times New Roman" w:hAnsi="Times New Roman"/>
          <w:sz w:val="28"/>
          <w:szCs w:val="28"/>
        </w:rPr>
        <w:t>Новогромовское</w:t>
      </w:r>
      <w:proofErr w:type="spellEnd"/>
      <w:r w:rsidRPr="00E841A8">
        <w:rPr>
          <w:rFonts w:ascii="Times New Roman" w:hAnsi="Times New Roman"/>
          <w:sz w:val="28"/>
          <w:szCs w:val="28"/>
        </w:rPr>
        <w:t>», ООО «Агро Ф». Кроме того, осуществляют деятельность крестьянские (фермерские) хозяйства. В экономике региона Черемховский район традиционно занимает ведущие позиции по объемам производимой сельхозпродукции и входит в число крупнейших агропромышленных территорий.</w:t>
      </w:r>
    </w:p>
    <w:p w14:paraId="6B5F5C69" w14:textId="77777777" w:rsidR="00F01C92" w:rsidRPr="00E841A8" w:rsidRDefault="00F01C92" w:rsidP="00F01C92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t>Добывающая отрасль на территории района представлена добычей тальковой руды и угля. ООО «</w:t>
      </w:r>
      <w:proofErr w:type="spellStart"/>
      <w:r w:rsidRPr="00E841A8">
        <w:rPr>
          <w:rFonts w:ascii="Times New Roman" w:hAnsi="Times New Roman"/>
          <w:sz w:val="28"/>
          <w:szCs w:val="28"/>
        </w:rPr>
        <w:t>Байкалруда</w:t>
      </w:r>
      <w:proofErr w:type="spellEnd"/>
      <w:r w:rsidRPr="00E841A8">
        <w:rPr>
          <w:rFonts w:ascii="Times New Roman" w:hAnsi="Times New Roman"/>
          <w:sz w:val="28"/>
          <w:szCs w:val="28"/>
        </w:rPr>
        <w:t xml:space="preserve">» – крупнейшее предприятие, занимающееся добычей тальковой руды. Добыча угля представлена предприятиями ООО «Разрез </w:t>
      </w:r>
      <w:proofErr w:type="spellStart"/>
      <w:r w:rsidRPr="00E841A8">
        <w:rPr>
          <w:rFonts w:ascii="Times New Roman" w:hAnsi="Times New Roman"/>
          <w:sz w:val="28"/>
          <w:szCs w:val="28"/>
        </w:rPr>
        <w:t>Иретский</w:t>
      </w:r>
      <w:proofErr w:type="spellEnd"/>
      <w:r w:rsidRPr="00E841A8">
        <w:rPr>
          <w:rFonts w:ascii="Times New Roman" w:hAnsi="Times New Roman"/>
          <w:sz w:val="28"/>
          <w:szCs w:val="28"/>
        </w:rPr>
        <w:t xml:space="preserve">», ООО «Разрез </w:t>
      </w:r>
      <w:proofErr w:type="spellStart"/>
      <w:r w:rsidRPr="00E841A8">
        <w:rPr>
          <w:rFonts w:ascii="Times New Roman" w:hAnsi="Times New Roman"/>
          <w:sz w:val="28"/>
          <w:szCs w:val="28"/>
        </w:rPr>
        <w:t>Ныгдинский</w:t>
      </w:r>
      <w:proofErr w:type="spellEnd"/>
      <w:r w:rsidRPr="00E841A8">
        <w:rPr>
          <w:rFonts w:ascii="Times New Roman" w:hAnsi="Times New Roman"/>
          <w:sz w:val="28"/>
          <w:szCs w:val="28"/>
        </w:rPr>
        <w:t>», реализующими на территории Черемховского района инвестиционные проекты по освоению угольных месторождений. Основополагающим предприятием сферы «обрабатывающие производства» является ООО «Байкальские минералы», занимающееся производством талька молотого и гранулированного.</w:t>
      </w:r>
    </w:p>
    <w:p w14:paraId="44692726" w14:textId="77777777" w:rsidR="00F01C92" w:rsidRPr="00E841A8" w:rsidRDefault="00F01C92" w:rsidP="00F01C92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t>При наличии благоприятных внешних и внутренних факторов развития ожидается стабильное функционирование действующих предприятий и рост основных экономических показателей деятельности.</w:t>
      </w:r>
    </w:p>
    <w:p w14:paraId="110FB227" w14:textId="77777777" w:rsidR="00F01C92" w:rsidRPr="00E841A8" w:rsidRDefault="00F01C92" w:rsidP="00F01C92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t>Инвестиции</w:t>
      </w:r>
    </w:p>
    <w:p w14:paraId="22323160" w14:textId="77777777" w:rsidR="00F01C92" w:rsidRPr="00E841A8" w:rsidRDefault="00F01C92" w:rsidP="00F01C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eastAsia="Calibri" w:hAnsi="Times New Roman" w:cs="Times New Roman"/>
          <w:sz w:val="28"/>
          <w:szCs w:val="28"/>
        </w:rPr>
        <w:t>Инвестиции являются основным фактором</w:t>
      </w:r>
      <w:r w:rsidRPr="00E841A8">
        <w:rPr>
          <w:rFonts w:ascii="Times New Roman" w:hAnsi="Times New Roman" w:cs="Times New Roman"/>
          <w:sz w:val="28"/>
          <w:szCs w:val="28"/>
        </w:rPr>
        <w:t xml:space="preserve"> экономического роста. Повышение производительности труда и внедрение новых технологий не представляется возможным без соответствующих финансовых вложений.</w:t>
      </w:r>
    </w:p>
    <w:p w14:paraId="7A9CF3FB" w14:textId="77777777" w:rsidR="00F01C92" w:rsidRPr="00E841A8" w:rsidRDefault="00F01C92" w:rsidP="00F01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Средний темп роста объема инвестиций на период 2024-2026 годы в условиях двух вариантов определен в объеме 4,9 %. На период 2027-2036 годы среднее ежегодное увеличение объема инвестиций в основной капитал прогнозируется в объеме 4,1 % по консервативному варианту и 4,0 % по базовому.</w:t>
      </w:r>
    </w:p>
    <w:p w14:paraId="7248E8A7" w14:textId="2F0433F3" w:rsidR="00F01C92" w:rsidRPr="00E841A8" w:rsidRDefault="00F01C92" w:rsidP="00F01C9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t xml:space="preserve">На территории Черемховского </w:t>
      </w:r>
      <w:r w:rsidR="00651CF8" w:rsidRPr="00E841A8">
        <w:rPr>
          <w:rFonts w:ascii="Times New Roman" w:hAnsi="Times New Roman"/>
          <w:sz w:val="28"/>
          <w:szCs w:val="28"/>
        </w:rPr>
        <w:t xml:space="preserve">района </w:t>
      </w:r>
      <w:r w:rsidRPr="00E841A8">
        <w:rPr>
          <w:rFonts w:ascii="Times New Roman" w:hAnsi="Times New Roman"/>
          <w:sz w:val="28"/>
          <w:szCs w:val="28"/>
        </w:rPr>
        <w:t>осуществляется реализация 5 промышленных инвестиционных проектов</w:t>
      </w:r>
      <w:r w:rsidRPr="00E841A8">
        <w:rPr>
          <w:rFonts w:ascii="Times New Roman" w:hAnsi="Times New Roman"/>
          <w:i/>
          <w:sz w:val="28"/>
          <w:szCs w:val="28"/>
        </w:rPr>
        <w:t xml:space="preserve">, </w:t>
      </w:r>
      <w:r w:rsidRPr="00E841A8">
        <w:rPr>
          <w:rFonts w:ascii="Times New Roman" w:hAnsi="Times New Roman"/>
          <w:sz w:val="28"/>
          <w:szCs w:val="28"/>
        </w:rPr>
        <w:t>направленных на добычу полезных ископаемых:</w:t>
      </w:r>
    </w:p>
    <w:p w14:paraId="72125443" w14:textId="77777777" w:rsidR="00F01C92" w:rsidRPr="00E841A8" w:rsidRDefault="00F01C92" w:rsidP="00F01C92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t>Участки «</w:t>
      </w:r>
      <w:proofErr w:type="spellStart"/>
      <w:r w:rsidRPr="00E841A8">
        <w:rPr>
          <w:rFonts w:ascii="Times New Roman" w:hAnsi="Times New Roman"/>
          <w:sz w:val="28"/>
          <w:szCs w:val="28"/>
        </w:rPr>
        <w:t>Иретский</w:t>
      </w:r>
      <w:proofErr w:type="spellEnd"/>
      <w:r w:rsidRPr="00E841A8">
        <w:rPr>
          <w:rFonts w:ascii="Times New Roman" w:hAnsi="Times New Roman"/>
          <w:sz w:val="28"/>
          <w:szCs w:val="28"/>
        </w:rPr>
        <w:t xml:space="preserve"> и Северный» </w:t>
      </w:r>
      <w:proofErr w:type="spellStart"/>
      <w:r w:rsidRPr="00E841A8">
        <w:rPr>
          <w:rFonts w:ascii="Times New Roman" w:hAnsi="Times New Roman"/>
          <w:sz w:val="28"/>
          <w:szCs w:val="28"/>
        </w:rPr>
        <w:t>Голуметской</w:t>
      </w:r>
      <w:proofErr w:type="spellEnd"/>
      <w:r w:rsidRPr="00E841A8">
        <w:rPr>
          <w:rFonts w:ascii="Times New Roman" w:hAnsi="Times New Roman"/>
          <w:sz w:val="28"/>
          <w:szCs w:val="28"/>
        </w:rPr>
        <w:t xml:space="preserve"> угленосной площади (ООО «Разрез </w:t>
      </w:r>
      <w:proofErr w:type="spellStart"/>
      <w:r w:rsidRPr="00E841A8">
        <w:rPr>
          <w:rFonts w:ascii="Times New Roman" w:hAnsi="Times New Roman"/>
          <w:sz w:val="28"/>
          <w:szCs w:val="28"/>
        </w:rPr>
        <w:t>Иретский</w:t>
      </w:r>
      <w:proofErr w:type="spellEnd"/>
      <w:r w:rsidRPr="00E841A8">
        <w:rPr>
          <w:rFonts w:ascii="Times New Roman" w:hAnsi="Times New Roman"/>
          <w:sz w:val="28"/>
          <w:szCs w:val="28"/>
        </w:rPr>
        <w:t>»);</w:t>
      </w:r>
    </w:p>
    <w:p w14:paraId="44378972" w14:textId="77777777" w:rsidR="00F01C92" w:rsidRPr="00E841A8" w:rsidRDefault="00F01C92" w:rsidP="00F01C92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t>Освоение Западной площади Мотовского участка Вознесенского месторождения (ООО «Разрез Вознесенский»);</w:t>
      </w:r>
    </w:p>
    <w:p w14:paraId="21A0C50A" w14:textId="77777777" w:rsidR="00F01C92" w:rsidRPr="00E841A8" w:rsidRDefault="00F01C92" w:rsidP="00F01C92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t xml:space="preserve">Освоение </w:t>
      </w:r>
      <w:proofErr w:type="spellStart"/>
      <w:r w:rsidRPr="00E841A8">
        <w:rPr>
          <w:rFonts w:ascii="Times New Roman" w:hAnsi="Times New Roman"/>
          <w:sz w:val="28"/>
          <w:szCs w:val="28"/>
        </w:rPr>
        <w:t>Ныгдинской</w:t>
      </w:r>
      <w:proofErr w:type="spellEnd"/>
      <w:r w:rsidRPr="00E841A8">
        <w:rPr>
          <w:rFonts w:ascii="Times New Roman" w:hAnsi="Times New Roman"/>
          <w:sz w:val="28"/>
          <w:szCs w:val="28"/>
        </w:rPr>
        <w:t xml:space="preserve"> площади </w:t>
      </w:r>
      <w:proofErr w:type="spellStart"/>
      <w:r w:rsidRPr="00E841A8">
        <w:rPr>
          <w:rFonts w:ascii="Times New Roman" w:hAnsi="Times New Roman"/>
          <w:sz w:val="28"/>
          <w:szCs w:val="28"/>
        </w:rPr>
        <w:t>Парфеновского</w:t>
      </w:r>
      <w:proofErr w:type="spellEnd"/>
      <w:r w:rsidRPr="00E841A8">
        <w:rPr>
          <w:rFonts w:ascii="Times New Roman" w:hAnsi="Times New Roman"/>
          <w:sz w:val="28"/>
          <w:szCs w:val="28"/>
        </w:rPr>
        <w:t xml:space="preserve"> участка Вознесенского месторождения (ООО «Разрез </w:t>
      </w:r>
      <w:proofErr w:type="spellStart"/>
      <w:r w:rsidRPr="00E841A8">
        <w:rPr>
          <w:rFonts w:ascii="Times New Roman" w:hAnsi="Times New Roman"/>
          <w:sz w:val="28"/>
          <w:szCs w:val="28"/>
        </w:rPr>
        <w:t>Ныгдинский</w:t>
      </w:r>
      <w:proofErr w:type="spellEnd"/>
      <w:r w:rsidRPr="00E841A8">
        <w:rPr>
          <w:rFonts w:ascii="Times New Roman" w:hAnsi="Times New Roman"/>
          <w:sz w:val="28"/>
          <w:szCs w:val="28"/>
        </w:rPr>
        <w:t>»);</w:t>
      </w:r>
    </w:p>
    <w:p w14:paraId="2FB3D651" w14:textId="77777777" w:rsidR="00F01C92" w:rsidRPr="00E841A8" w:rsidRDefault="00F01C92" w:rsidP="00F01C92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t>Разработка участка по добыче каменного угля «</w:t>
      </w:r>
      <w:proofErr w:type="spellStart"/>
      <w:r w:rsidRPr="00E841A8">
        <w:rPr>
          <w:rFonts w:ascii="Times New Roman" w:hAnsi="Times New Roman"/>
          <w:sz w:val="28"/>
          <w:szCs w:val="28"/>
        </w:rPr>
        <w:t>Герасимовская</w:t>
      </w:r>
      <w:proofErr w:type="spellEnd"/>
      <w:r w:rsidRPr="00E841A8">
        <w:rPr>
          <w:rFonts w:ascii="Times New Roman" w:hAnsi="Times New Roman"/>
          <w:sz w:val="28"/>
          <w:szCs w:val="28"/>
        </w:rPr>
        <w:t xml:space="preserve"> площадь» (ООО «</w:t>
      </w:r>
      <w:proofErr w:type="spellStart"/>
      <w:r w:rsidRPr="00E841A8">
        <w:rPr>
          <w:rFonts w:ascii="Times New Roman" w:hAnsi="Times New Roman"/>
          <w:sz w:val="28"/>
          <w:szCs w:val="28"/>
        </w:rPr>
        <w:t>СибНедра</w:t>
      </w:r>
      <w:proofErr w:type="spellEnd"/>
      <w:r w:rsidRPr="00E841A8">
        <w:rPr>
          <w:rFonts w:ascii="Times New Roman" w:hAnsi="Times New Roman"/>
          <w:sz w:val="28"/>
          <w:szCs w:val="28"/>
        </w:rPr>
        <w:t>»);</w:t>
      </w:r>
    </w:p>
    <w:p w14:paraId="2131B86B" w14:textId="77777777" w:rsidR="00F01C92" w:rsidRPr="00E841A8" w:rsidRDefault="00F01C92" w:rsidP="00F01C92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lastRenderedPageBreak/>
        <w:t>Геологическое изучение, включающее поиски и оценку месторождений рудного золота на участке «</w:t>
      </w:r>
      <w:proofErr w:type="spellStart"/>
      <w:r w:rsidRPr="00E841A8">
        <w:rPr>
          <w:rFonts w:ascii="Times New Roman" w:hAnsi="Times New Roman"/>
          <w:sz w:val="28"/>
          <w:szCs w:val="28"/>
        </w:rPr>
        <w:t>Зэгэн-Гольское</w:t>
      </w:r>
      <w:proofErr w:type="spellEnd"/>
      <w:r w:rsidRPr="00E841A8">
        <w:rPr>
          <w:rFonts w:ascii="Times New Roman" w:hAnsi="Times New Roman"/>
          <w:sz w:val="28"/>
          <w:szCs w:val="28"/>
        </w:rPr>
        <w:t xml:space="preserve"> рудное поле (участок «</w:t>
      </w:r>
      <w:proofErr w:type="spellStart"/>
      <w:r w:rsidRPr="00E841A8">
        <w:rPr>
          <w:rFonts w:ascii="Times New Roman" w:hAnsi="Times New Roman"/>
          <w:sz w:val="28"/>
          <w:szCs w:val="28"/>
        </w:rPr>
        <w:t>Дээдэ-Борто</w:t>
      </w:r>
      <w:proofErr w:type="spellEnd"/>
      <w:r w:rsidRPr="00E841A8">
        <w:rPr>
          <w:rFonts w:ascii="Times New Roman" w:hAnsi="Times New Roman"/>
          <w:sz w:val="28"/>
          <w:szCs w:val="28"/>
        </w:rPr>
        <w:t>»)» (ООО «</w:t>
      </w:r>
      <w:proofErr w:type="spellStart"/>
      <w:r w:rsidRPr="00E841A8">
        <w:rPr>
          <w:rFonts w:ascii="Times New Roman" w:hAnsi="Times New Roman"/>
          <w:sz w:val="28"/>
          <w:szCs w:val="28"/>
        </w:rPr>
        <w:t>Забайкал</w:t>
      </w:r>
      <w:proofErr w:type="spellEnd"/>
      <w:r w:rsidRPr="00E841A8">
        <w:rPr>
          <w:rFonts w:ascii="Times New Roman" w:hAnsi="Times New Roman"/>
          <w:sz w:val="28"/>
          <w:szCs w:val="28"/>
        </w:rPr>
        <w:t xml:space="preserve"> Ойл).</w:t>
      </w:r>
    </w:p>
    <w:p w14:paraId="0B7CB64B" w14:textId="77777777" w:rsidR="00F01C92" w:rsidRPr="00E841A8" w:rsidRDefault="00F01C92" w:rsidP="00F01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При наличии благоприятных внешних и внутренних факторов реализация крупных инвестиционных проектов окажет непосредственное влияние на развитие экономики, что повлечет качественное изменение социально-экономических характеристик, таких как занятость населения и наполнение бюджетной системы.</w:t>
      </w:r>
    </w:p>
    <w:p w14:paraId="4A6A116B" w14:textId="77777777" w:rsidR="00F01C92" w:rsidRPr="00E841A8" w:rsidRDefault="00F01C92" w:rsidP="00F01C92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t>Уровень жизни населения</w:t>
      </w:r>
    </w:p>
    <w:p w14:paraId="622B1C39" w14:textId="77777777" w:rsidR="00F01C92" w:rsidRPr="00E841A8" w:rsidRDefault="00F01C92" w:rsidP="00F01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Прогнозируемое значение фонда оплаты труда по полному кругу организаций на период до 2036 года учитывает влияние индексов-дефляторов по основным видам экономической деятельности. Продолжение реализации мероприятий государственной социальной политики обеспечит положительную динамику заработной платы работников бюджетных учреждений образования, здравоохранения, культуры и социальных услуг. Рост средней заработной платы в указанных сферах увеличит потребительский спрос и будет способствовать увеличению объема реализации товаров и услуг, следовательно, росту заработной платы в сфере малого предпринимательства.</w:t>
      </w:r>
    </w:p>
    <w:p w14:paraId="2AE69531" w14:textId="77777777" w:rsidR="00F01C92" w:rsidRPr="00E841A8" w:rsidRDefault="00F01C92" w:rsidP="00F01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Темп роста фонда оплаты труда на период 2024-2026 годы ожидается в объеме 102,2 % по консервативному варианту и 102,7 % по базовому.</w:t>
      </w:r>
    </w:p>
    <w:p w14:paraId="6AF65483" w14:textId="77777777" w:rsidR="00F01C92" w:rsidRPr="00E841A8" w:rsidRDefault="00F01C92" w:rsidP="00F01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В долгосрочной перспективе до 2036 года оба варианта предусматривают рост денежных доходов населения, позволяющий компенсировать уровень инфляции. В условиях двух вариантов средний темп рост фонда оплаты труда составит к 2036 году 6,8 %.</w:t>
      </w:r>
    </w:p>
    <w:p w14:paraId="07150C05" w14:textId="77777777" w:rsidR="00F01C92" w:rsidRPr="00E841A8" w:rsidRDefault="00F01C92" w:rsidP="00F01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Увеличение показателя находится в непосредственном взаимодействии с сохранением инфляционных процессов и необходимостью индексации заработных плат. При условии развития действующих предприятий, реализации инвестиционных проектов возможным представляется создание новых рабочих мест, рост заработной платы и, соответственно, фонда оплаты труда.</w:t>
      </w:r>
    </w:p>
    <w:p w14:paraId="4D7ADAFB" w14:textId="77777777" w:rsidR="00F01C92" w:rsidRPr="00E841A8" w:rsidRDefault="00F01C92" w:rsidP="00F01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>На преобладание консервативного или базового сценария в социально-экономической ситуации непосредственное влияние оказывает степень проявления</w:t>
      </w:r>
      <w:r w:rsidRPr="00E8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внешних и внутренних факторов, ограничений экономического роста.</w:t>
      </w:r>
    </w:p>
    <w:p w14:paraId="7D2FADBD" w14:textId="77777777" w:rsidR="00F01C92" w:rsidRPr="00E841A8" w:rsidRDefault="00F01C92" w:rsidP="00F01C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1A8">
        <w:rPr>
          <w:rFonts w:ascii="Times New Roman" w:eastAsia="Calibri" w:hAnsi="Times New Roman" w:cs="Times New Roman"/>
          <w:sz w:val="28"/>
          <w:szCs w:val="28"/>
        </w:rPr>
        <w:t>Консервативный вариант предполагает сдерживающие темпы развития экономики в условиях возможных ограничений внешней среды.</w:t>
      </w:r>
    </w:p>
    <w:p w14:paraId="292934B5" w14:textId="77777777" w:rsidR="00F01C92" w:rsidRPr="00E841A8" w:rsidRDefault="00F01C92" w:rsidP="00F01C92">
      <w:pPr>
        <w:spacing w:after="0"/>
        <w:ind w:firstLine="709"/>
        <w:jc w:val="both"/>
        <w:rPr>
          <w:rStyle w:val="a7"/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 w:cs="Times New Roman"/>
          <w:sz w:val="28"/>
          <w:szCs w:val="28"/>
        </w:rPr>
        <w:t xml:space="preserve">Базовый вариант </w:t>
      </w:r>
      <w:r w:rsidRPr="00E841A8">
        <w:rPr>
          <w:rFonts w:ascii="Times New Roman" w:eastAsia="Calibri" w:hAnsi="Times New Roman" w:cs="Times New Roman"/>
          <w:sz w:val="28"/>
          <w:szCs w:val="28"/>
        </w:rPr>
        <w:t>рассматривается в качестве наиболее вероятного</w:t>
      </w:r>
      <w:r w:rsidRPr="00E841A8">
        <w:rPr>
          <w:rFonts w:ascii="Times New Roman" w:hAnsi="Times New Roman" w:cs="Times New Roman"/>
          <w:sz w:val="28"/>
          <w:szCs w:val="28"/>
        </w:rPr>
        <w:t xml:space="preserve">, предполагающего стабильные темпы экономического роста при сохранении существующих тенденций функционирования приоритетных сфер экономики (сельское хозяйство, добыча полезных ископаемых, обрабатывающие производства), являющихся основой экономического потенциала территории. </w:t>
      </w:r>
      <w:r w:rsidRPr="00E841A8">
        <w:rPr>
          <w:rFonts w:ascii="Times New Roman" w:hAnsi="Times New Roman" w:cs="Times New Roman"/>
          <w:sz w:val="28"/>
          <w:szCs w:val="28"/>
        </w:rPr>
        <w:lastRenderedPageBreak/>
        <w:t xml:space="preserve">Для варианта характерна </w:t>
      </w:r>
      <w:r w:rsidRPr="00E841A8">
        <w:rPr>
          <w:rStyle w:val="a7"/>
          <w:rFonts w:ascii="Times New Roman" w:hAnsi="Times New Roman"/>
          <w:sz w:val="28"/>
          <w:szCs w:val="28"/>
        </w:rPr>
        <w:t>устойчивая динамика роста объемов производства и инвестиций в основной капитал за счет улучшения общей экономической ситуации в Иркутской области и в Российской Федерации.</w:t>
      </w:r>
    </w:p>
    <w:p w14:paraId="6F4E31A0" w14:textId="445917BD" w:rsidR="00357B42" w:rsidRPr="00E841A8" w:rsidRDefault="00357B42" w:rsidP="00F01C92"/>
    <w:sectPr w:rsidR="00357B42" w:rsidRPr="00E841A8" w:rsidSect="00E841A8">
      <w:type w:val="continuous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44FDA"/>
    <w:multiLevelType w:val="hybridMultilevel"/>
    <w:tmpl w:val="E362C494"/>
    <w:lvl w:ilvl="0" w:tplc="0DBAFEDA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CC0"/>
    <w:multiLevelType w:val="hybridMultilevel"/>
    <w:tmpl w:val="9056C326"/>
    <w:lvl w:ilvl="0" w:tplc="428C89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37D072CF"/>
    <w:multiLevelType w:val="hybridMultilevel"/>
    <w:tmpl w:val="A58448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F6B3C"/>
    <w:multiLevelType w:val="hybridMultilevel"/>
    <w:tmpl w:val="610C9A06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C592FF5"/>
    <w:multiLevelType w:val="multilevel"/>
    <w:tmpl w:val="C9E276B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6C67CE5"/>
    <w:multiLevelType w:val="hybridMultilevel"/>
    <w:tmpl w:val="95EE2F96"/>
    <w:lvl w:ilvl="0" w:tplc="0DDC0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59"/>
    <w:rsid w:val="0006178D"/>
    <w:rsid w:val="000760B6"/>
    <w:rsid w:val="000B7EFA"/>
    <w:rsid w:val="00111980"/>
    <w:rsid w:val="00126721"/>
    <w:rsid w:val="00144AFC"/>
    <w:rsid w:val="0015210D"/>
    <w:rsid w:val="00211875"/>
    <w:rsid w:val="00234046"/>
    <w:rsid w:val="0023563A"/>
    <w:rsid w:val="00250759"/>
    <w:rsid w:val="00274A85"/>
    <w:rsid w:val="00293E7B"/>
    <w:rsid w:val="002A153F"/>
    <w:rsid w:val="002B7849"/>
    <w:rsid w:val="002D4DE0"/>
    <w:rsid w:val="00357B42"/>
    <w:rsid w:val="00391A1A"/>
    <w:rsid w:val="003B3599"/>
    <w:rsid w:val="003E57B4"/>
    <w:rsid w:val="003F3314"/>
    <w:rsid w:val="00432DD7"/>
    <w:rsid w:val="00572CD6"/>
    <w:rsid w:val="00587592"/>
    <w:rsid w:val="005B7236"/>
    <w:rsid w:val="005E6ED8"/>
    <w:rsid w:val="00601D42"/>
    <w:rsid w:val="00651CF8"/>
    <w:rsid w:val="006A17C1"/>
    <w:rsid w:val="006B63C7"/>
    <w:rsid w:val="00723E86"/>
    <w:rsid w:val="00727BA4"/>
    <w:rsid w:val="007E0F10"/>
    <w:rsid w:val="00892CE7"/>
    <w:rsid w:val="009151AC"/>
    <w:rsid w:val="0092543D"/>
    <w:rsid w:val="00952924"/>
    <w:rsid w:val="009B0789"/>
    <w:rsid w:val="009F28BE"/>
    <w:rsid w:val="00A80E29"/>
    <w:rsid w:val="00AD55F9"/>
    <w:rsid w:val="00B11E2F"/>
    <w:rsid w:val="00B27BDA"/>
    <w:rsid w:val="00B67132"/>
    <w:rsid w:val="00BE0A24"/>
    <w:rsid w:val="00C247FD"/>
    <w:rsid w:val="00C43B46"/>
    <w:rsid w:val="00D54247"/>
    <w:rsid w:val="00D66040"/>
    <w:rsid w:val="00DD2102"/>
    <w:rsid w:val="00E17DEE"/>
    <w:rsid w:val="00E7038A"/>
    <w:rsid w:val="00E77B92"/>
    <w:rsid w:val="00E841A8"/>
    <w:rsid w:val="00F01C92"/>
    <w:rsid w:val="00F50134"/>
    <w:rsid w:val="00F81F98"/>
    <w:rsid w:val="00F93ADE"/>
    <w:rsid w:val="00F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F105"/>
  <w15:chartTrackingRefBased/>
  <w15:docId w15:val="{BF46112C-6F03-4D65-BE97-B3C65C25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7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759"/>
    <w:rPr>
      <w:color w:val="800080"/>
      <w:u w:val="single"/>
    </w:rPr>
  </w:style>
  <w:style w:type="paragraph" w:customStyle="1" w:styleId="msonormal0">
    <w:name w:val="msonormal"/>
    <w:basedOn w:val="a"/>
    <w:rsid w:val="0025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5075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5075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5075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25075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507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250759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2507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2507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5">
    <w:name w:val="xl75"/>
    <w:basedOn w:val="a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82">
    <w:name w:val="xl82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86">
    <w:name w:val="xl86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7">
    <w:name w:val="xl87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1">
    <w:name w:val="xl91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97">
    <w:name w:val="xl97"/>
    <w:basedOn w:val="a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0">
    <w:name w:val="xl100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250759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105">
    <w:name w:val="xl105"/>
    <w:basedOn w:val="a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250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thinReverseDiagStripe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250759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250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50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2507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25075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4">
    <w:name w:val="xl134"/>
    <w:basedOn w:val="a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250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250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250759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250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2507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25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250759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250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2507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250759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7">
    <w:name w:val="xl157"/>
    <w:basedOn w:val="a"/>
    <w:rsid w:val="002507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2507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250759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25075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2507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2507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25075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2507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250759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25075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250759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250759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250759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2507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25075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2507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14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29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1">
    <w:name w:val="bodytext1"/>
    <w:basedOn w:val="a"/>
    <w:rsid w:val="00952924"/>
    <w:pPr>
      <w:spacing w:after="150" w:line="225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727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727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727B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727BA4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727BA4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727BA4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39"/>
    <w:rsid w:val="0023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+ Полужирный"/>
    <w:uiPriority w:val="99"/>
    <w:rsid w:val="00F01C9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841A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41A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56B1-9EA9-4877-80B3-5AD2CDCC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К10 27.50</dc:creator>
  <cp:keywords/>
  <dc:description/>
  <cp:lastModifiedBy>15k158</cp:lastModifiedBy>
  <cp:revision>72</cp:revision>
  <cp:lastPrinted>2024-01-05T02:49:00Z</cp:lastPrinted>
  <dcterms:created xsi:type="dcterms:W3CDTF">2022-07-04T02:18:00Z</dcterms:created>
  <dcterms:modified xsi:type="dcterms:W3CDTF">2024-01-05T02:56:00Z</dcterms:modified>
</cp:coreProperties>
</file>