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ru-RU"/>
        </w:rPr>
        <w:t xml:space="preserve">Официальный сайт Российской Федерации для размещения информации по проведению торгов размещенный в сети Интернет по адресу: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ru-RU"/>
        </w:rPr>
      </w:r>
      <w:hyperlink r:id="rId8" w:tooltip="https://torgi.gov.ru" w:history="1">
        <w:r>
          <w:rPr>
            <w:rStyle w:val="812"/>
            <w:rFonts w:ascii="Times New Roman" w:hAnsi="Times New Roman" w:eastAsia="Times New Roman" w:cs="Times New Roman"/>
            <w:b/>
            <w:bCs/>
            <w:sz w:val="26"/>
            <w:szCs w:val="26"/>
            <w:lang w:val="ru-RU"/>
          </w:rPr>
          <w:t xml:space="preserve">https://torgi.gov.ru</w:t>
        </w:r>
      </w:hyperlink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</w:p>
    <w:p>
      <w:pPr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441046" cy="3192978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689147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rcRect l="0" t="0" r="8406" b="0"/>
                        <a:stretch/>
                      </pic:blipFill>
                      <pic:spPr bwMode="auto">
                        <a:xfrm flipH="0" flipV="0">
                          <a:off x="0" y="0"/>
                          <a:ext cx="5441046" cy="31929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8.43pt;height:251.42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torgi.gov.ru" TargetMode="External"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Econom</cp:lastModifiedBy>
  <cp:revision>2</cp:revision>
  <dcterms:modified xsi:type="dcterms:W3CDTF">2026-01-19T00:32:57Z</dcterms:modified>
</cp:coreProperties>
</file>