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BA" w:rsidRDefault="00654E44">
      <w:r>
        <w:t xml:space="preserve">Порядок досудебного обжалования решений контрольного (надзорного) органа, действия (бездействия) его должностных лиц не предусмотрен Положением о муниципальном земельном контроле на территории  </w:t>
      </w:r>
      <w:proofErr w:type="spellStart"/>
      <w:r>
        <w:t>Усть-Илимского</w:t>
      </w:r>
      <w:proofErr w:type="spellEnd"/>
      <w:r>
        <w:t xml:space="preserve"> муниципального округа.</w:t>
      </w:r>
    </w:p>
    <w:sectPr w:rsidR="00F342BA" w:rsidSect="00F3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E44"/>
    <w:rsid w:val="00654E44"/>
    <w:rsid w:val="00F3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2025-04-17T04:14:00Z</dcterms:created>
  <dcterms:modified xsi:type="dcterms:W3CDTF">2025-04-17T04:15:00Z</dcterms:modified>
</cp:coreProperties>
</file>