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80" w:rsidRPr="00880D70" w:rsidRDefault="00B034A6" w:rsidP="00B034A6">
      <w:pPr>
        <w:jc w:val="center"/>
        <w:rPr>
          <w:rFonts w:ascii="Times New Roman" w:hAnsi="Times New Roman" w:cs="Times New Roman"/>
        </w:rPr>
      </w:pPr>
      <w:r w:rsidRPr="00880D70">
        <w:rPr>
          <w:rFonts w:ascii="Times New Roman" w:hAnsi="Times New Roman" w:cs="Times New Roman"/>
        </w:rPr>
        <w:t>ФИНАНСОВЫЙ   МЕНЕДЖМЕНТ</w:t>
      </w:r>
    </w:p>
    <w:p w:rsidR="00B034A6" w:rsidRPr="00880D70" w:rsidRDefault="00B034A6" w:rsidP="00B034A6">
      <w:pPr>
        <w:jc w:val="left"/>
        <w:rPr>
          <w:rFonts w:ascii="Times New Roman" w:hAnsi="Times New Roman" w:cs="Times New Roman"/>
        </w:rPr>
      </w:pPr>
    </w:p>
    <w:p w:rsidR="00B034A6" w:rsidRPr="00880D70" w:rsidRDefault="00B034A6" w:rsidP="00DD39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</w:rPr>
        <w:tab/>
      </w:r>
      <w:r w:rsidRPr="00880D70">
        <w:rPr>
          <w:rFonts w:ascii="Times New Roman" w:hAnsi="Times New Roman" w:cs="Times New Roman"/>
          <w:sz w:val="24"/>
          <w:szCs w:val="24"/>
        </w:rPr>
        <w:t>На основе результатов мониторинга качества финансового менеджмента, осуществляемого главными распорядителями бюджетных средств, главными администраторами доходов бюджета</w:t>
      </w:r>
      <w:r w:rsidR="00DD3975" w:rsidRPr="00880D70">
        <w:rPr>
          <w:rFonts w:ascii="Times New Roman" w:hAnsi="Times New Roman" w:cs="Times New Roman"/>
          <w:sz w:val="24"/>
          <w:szCs w:val="24"/>
        </w:rPr>
        <w:t xml:space="preserve">, главными администраторами источников финансирования дефицита бюджета </w:t>
      </w:r>
      <w:r w:rsidRPr="00880D70">
        <w:rPr>
          <w:rFonts w:ascii="Times New Roman" w:hAnsi="Times New Roman" w:cs="Times New Roman"/>
          <w:sz w:val="24"/>
          <w:szCs w:val="24"/>
        </w:rPr>
        <w:t>муниципального образования «Тайшетский район», составляется рейтинг главных администраторов бюджетных средств</w:t>
      </w:r>
      <w:r w:rsidR="00135FEE" w:rsidRPr="00880D70">
        <w:rPr>
          <w:rFonts w:ascii="Times New Roman" w:hAnsi="Times New Roman" w:cs="Times New Roman"/>
          <w:sz w:val="24"/>
          <w:szCs w:val="24"/>
        </w:rPr>
        <w:t xml:space="preserve"> (далее – ГАБС)</w:t>
      </w:r>
      <w:r w:rsidRPr="00880D70">
        <w:rPr>
          <w:rFonts w:ascii="Times New Roman" w:hAnsi="Times New Roman" w:cs="Times New Roman"/>
          <w:sz w:val="24"/>
          <w:szCs w:val="24"/>
        </w:rPr>
        <w:t>.</w:t>
      </w:r>
    </w:p>
    <w:p w:rsidR="00B034A6" w:rsidRPr="00880D70" w:rsidRDefault="00B034A6" w:rsidP="00DD39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ab/>
        <w:t xml:space="preserve">Качество финансового менеджмента ГАБС зависит от организации ГАБС процедур </w:t>
      </w:r>
      <w:r w:rsidR="00DD3975" w:rsidRPr="00880D70">
        <w:rPr>
          <w:rFonts w:ascii="Times New Roman" w:hAnsi="Times New Roman" w:cs="Times New Roman"/>
          <w:sz w:val="24"/>
          <w:szCs w:val="24"/>
        </w:rPr>
        <w:t xml:space="preserve">управления доходами и расходами бюджета, </w:t>
      </w:r>
      <w:r w:rsidRPr="00880D70">
        <w:rPr>
          <w:rFonts w:ascii="Times New Roman" w:hAnsi="Times New Roman" w:cs="Times New Roman"/>
          <w:sz w:val="24"/>
          <w:szCs w:val="24"/>
        </w:rPr>
        <w:t>ведения учета</w:t>
      </w:r>
      <w:r w:rsidR="00DD3975" w:rsidRPr="00880D70">
        <w:rPr>
          <w:rFonts w:ascii="Times New Roman" w:hAnsi="Times New Roman" w:cs="Times New Roman"/>
          <w:sz w:val="24"/>
          <w:szCs w:val="24"/>
        </w:rPr>
        <w:t xml:space="preserve"> и</w:t>
      </w:r>
      <w:r w:rsidRPr="00880D70">
        <w:rPr>
          <w:rFonts w:ascii="Times New Roman" w:hAnsi="Times New Roman" w:cs="Times New Roman"/>
          <w:sz w:val="24"/>
          <w:szCs w:val="24"/>
        </w:rPr>
        <w:t xml:space="preserve"> составления бюджетной отчетности, </w:t>
      </w:r>
      <w:r w:rsidR="00D87B67">
        <w:rPr>
          <w:rFonts w:ascii="Times New Roman" w:hAnsi="Times New Roman" w:cs="Times New Roman"/>
          <w:sz w:val="24"/>
          <w:szCs w:val="24"/>
        </w:rPr>
        <w:t xml:space="preserve">открытости бюджетных данных, </w:t>
      </w:r>
      <w:r w:rsidR="00DD3975" w:rsidRPr="00880D70">
        <w:rPr>
          <w:rFonts w:ascii="Times New Roman" w:hAnsi="Times New Roman" w:cs="Times New Roman"/>
          <w:sz w:val="24"/>
          <w:szCs w:val="24"/>
        </w:rPr>
        <w:t>организации и осуществления внутреннего финансового аудита</w:t>
      </w:r>
      <w:r w:rsidR="00662D26">
        <w:rPr>
          <w:rFonts w:ascii="Times New Roman" w:hAnsi="Times New Roman" w:cs="Times New Roman"/>
          <w:sz w:val="24"/>
          <w:szCs w:val="24"/>
        </w:rPr>
        <w:t xml:space="preserve"> и внутреннего финансового контроля</w:t>
      </w:r>
      <w:r w:rsidR="00D87B67">
        <w:rPr>
          <w:rFonts w:ascii="Times New Roman" w:hAnsi="Times New Roman" w:cs="Times New Roman"/>
          <w:sz w:val="24"/>
          <w:szCs w:val="24"/>
        </w:rPr>
        <w:t xml:space="preserve">, </w:t>
      </w:r>
      <w:r w:rsidR="00DD3975" w:rsidRPr="00880D70">
        <w:rPr>
          <w:rFonts w:ascii="Times New Roman" w:hAnsi="Times New Roman" w:cs="Times New Roman"/>
          <w:sz w:val="24"/>
          <w:szCs w:val="24"/>
        </w:rPr>
        <w:t>управления активами, исполнения бюджетных процедур во взаимосвязи с выявленными бюджетными нарушениями</w:t>
      </w:r>
      <w:r w:rsidRPr="00880D70">
        <w:rPr>
          <w:rFonts w:ascii="Times New Roman" w:hAnsi="Times New Roman" w:cs="Times New Roman"/>
          <w:sz w:val="24"/>
          <w:szCs w:val="24"/>
        </w:rPr>
        <w:t>.</w:t>
      </w:r>
    </w:p>
    <w:p w:rsidR="00437E10" w:rsidRPr="00F612D4" w:rsidRDefault="00437E10" w:rsidP="00DD39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ab/>
        <w:t>Мониторинг проводится в соответствии с Порядком проведения мониторинга качества финансового менеджмента главных распорядителей бюджетных средств, главных администраторов доходов бюджета</w:t>
      </w:r>
      <w:r w:rsidR="00636A99" w:rsidRPr="00880D70">
        <w:rPr>
          <w:rFonts w:ascii="Times New Roman" w:hAnsi="Times New Roman" w:cs="Times New Roman"/>
          <w:sz w:val="24"/>
          <w:szCs w:val="24"/>
        </w:rPr>
        <w:t>, главных администраторов источников финансирования дефицита бюджета</w:t>
      </w:r>
      <w:r w:rsidRPr="00880D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«Тайшетский район», утвержденным </w:t>
      </w:r>
      <w:r w:rsidR="00636A99" w:rsidRPr="00880D70">
        <w:rPr>
          <w:rFonts w:ascii="Times New Roman" w:hAnsi="Times New Roman" w:cs="Times New Roman"/>
          <w:sz w:val="24"/>
          <w:szCs w:val="24"/>
        </w:rPr>
        <w:t>приказом Финансового управления</w:t>
      </w:r>
      <w:r w:rsidRPr="00880D70">
        <w:rPr>
          <w:rFonts w:ascii="Times New Roman" w:hAnsi="Times New Roman" w:cs="Times New Roman"/>
          <w:sz w:val="24"/>
          <w:szCs w:val="24"/>
        </w:rPr>
        <w:t xml:space="preserve"> администрации Тайшетского района от 3</w:t>
      </w:r>
      <w:r w:rsidR="00230269">
        <w:rPr>
          <w:rFonts w:ascii="Times New Roman" w:hAnsi="Times New Roman" w:cs="Times New Roman"/>
          <w:sz w:val="24"/>
          <w:szCs w:val="24"/>
        </w:rPr>
        <w:t>1</w:t>
      </w:r>
      <w:r w:rsidR="00636A99" w:rsidRPr="00880D70">
        <w:rPr>
          <w:rFonts w:ascii="Times New Roman" w:hAnsi="Times New Roman" w:cs="Times New Roman"/>
          <w:sz w:val="24"/>
          <w:szCs w:val="24"/>
        </w:rPr>
        <w:t>.05.2021</w:t>
      </w:r>
      <w:r w:rsidRPr="00880D7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36A99" w:rsidRPr="00880D70">
        <w:rPr>
          <w:rFonts w:ascii="Times New Roman" w:hAnsi="Times New Roman" w:cs="Times New Roman"/>
          <w:sz w:val="24"/>
          <w:szCs w:val="24"/>
        </w:rPr>
        <w:t>64/р</w:t>
      </w:r>
      <w:r w:rsidR="00D87B67">
        <w:rPr>
          <w:rFonts w:ascii="Times New Roman" w:hAnsi="Times New Roman" w:cs="Times New Roman"/>
          <w:sz w:val="24"/>
          <w:szCs w:val="24"/>
        </w:rPr>
        <w:t xml:space="preserve"> (в редакции приказ</w:t>
      </w:r>
      <w:r w:rsidR="00662D26">
        <w:rPr>
          <w:rFonts w:ascii="Times New Roman" w:hAnsi="Times New Roman" w:cs="Times New Roman"/>
          <w:sz w:val="24"/>
          <w:szCs w:val="24"/>
        </w:rPr>
        <w:t>ов</w:t>
      </w:r>
      <w:r w:rsidR="00D87B67">
        <w:rPr>
          <w:rFonts w:ascii="Times New Roman" w:hAnsi="Times New Roman" w:cs="Times New Roman"/>
          <w:sz w:val="24"/>
          <w:szCs w:val="24"/>
        </w:rPr>
        <w:t xml:space="preserve"> от 15.05.2024 года № 40/р</w:t>
      </w:r>
      <w:r w:rsidR="00662D26">
        <w:rPr>
          <w:rFonts w:ascii="Times New Roman" w:hAnsi="Times New Roman" w:cs="Times New Roman"/>
          <w:sz w:val="24"/>
          <w:szCs w:val="24"/>
        </w:rPr>
        <w:t xml:space="preserve">, </w:t>
      </w:r>
      <w:r w:rsidR="00F612D4" w:rsidRPr="00F612D4">
        <w:rPr>
          <w:rFonts w:ascii="Times New Roman" w:hAnsi="Times New Roman" w:cs="Times New Roman"/>
          <w:sz w:val="24"/>
          <w:szCs w:val="24"/>
        </w:rPr>
        <w:t>от 12</w:t>
      </w:r>
      <w:r w:rsidR="00662D26" w:rsidRPr="00F612D4">
        <w:rPr>
          <w:rFonts w:ascii="Times New Roman" w:hAnsi="Times New Roman" w:cs="Times New Roman"/>
          <w:sz w:val="24"/>
          <w:szCs w:val="24"/>
        </w:rPr>
        <w:t xml:space="preserve">.05.2025 года № </w:t>
      </w:r>
      <w:r w:rsidR="00F612D4" w:rsidRPr="00F612D4">
        <w:rPr>
          <w:rFonts w:ascii="Times New Roman" w:hAnsi="Times New Roman" w:cs="Times New Roman"/>
          <w:sz w:val="24"/>
          <w:szCs w:val="24"/>
        </w:rPr>
        <w:t>42</w:t>
      </w:r>
      <w:r w:rsidR="00662D26" w:rsidRPr="00F612D4">
        <w:rPr>
          <w:rFonts w:ascii="Times New Roman" w:hAnsi="Times New Roman" w:cs="Times New Roman"/>
          <w:sz w:val="24"/>
          <w:szCs w:val="24"/>
        </w:rPr>
        <w:t>/р</w:t>
      </w:r>
      <w:r w:rsidR="00D87B67" w:rsidRPr="00F612D4">
        <w:rPr>
          <w:rFonts w:ascii="Times New Roman" w:hAnsi="Times New Roman" w:cs="Times New Roman"/>
          <w:sz w:val="24"/>
          <w:szCs w:val="24"/>
        </w:rPr>
        <w:t>)</w:t>
      </w:r>
      <w:r w:rsidRPr="00F612D4">
        <w:rPr>
          <w:rFonts w:ascii="Times New Roman" w:hAnsi="Times New Roman" w:cs="Times New Roman"/>
          <w:sz w:val="24"/>
          <w:szCs w:val="24"/>
        </w:rPr>
        <w:t>.</w:t>
      </w:r>
    </w:p>
    <w:p w:rsidR="00880D70" w:rsidRPr="00880D70" w:rsidRDefault="00880D70" w:rsidP="00880D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D70" w:rsidRPr="00880D70" w:rsidRDefault="00880D70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 проводится по следующим направлениям:</w:t>
      </w:r>
    </w:p>
    <w:p w:rsidR="00880D70" w:rsidRPr="00880D70" w:rsidRDefault="00880D70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 xml:space="preserve"> - оценка качества управления расходами бюджета;</w:t>
      </w:r>
    </w:p>
    <w:p w:rsidR="00880D70" w:rsidRPr="00880D70" w:rsidRDefault="00880D70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 xml:space="preserve"> - оценка качества управления доходами бюджета;</w:t>
      </w:r>
    </w:p>
    <w:p w:rsidR="00880D70" w:rsidRDefault="00880D70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 xml:space="preserve"> - оценка качества ведения учёта и составления бюджетной отчётности;</w:t>
      </w:r>
    </w:p>
    <w:p w:rsidR="00D87B67" w:rsidRPr="00880D70" w:rsidRDefault="00D87B67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оценка открытости </w:t>
      </w:r>
      <w:r w:rsidR="00520418">
        <w:rPr>
          <w:rFonts w:ascii="Times New Roman" w:hAnsi="Times New Roman" w:cs="Times New Roman"/>
          <w:sz w:val="24"/>
          <w:szCs w:val="24"/>
        </w:rPr>
        <w:t>бюджетных данных;</w:t>
      </w:r>
    </w:p>
    <w:p w:rsidR="00880D70" w:rsidRPr="00880D70" w:rsidRDefault="00520418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0D70" w:rsidRPr="00880D70">
        <w:rPr>
          <w:rFonts w:ascii="Times New Roman" w:hAnsi="Times New Roman" w:cs="Times New Roman"/>
          <w:sz w:val="24"/>
          <w:szCs w:val="24"/>
        </w:rPr>
        <w:t>оценка качества организации и осуществления внутреннего ф</w:t>
      </w:r>
      <w:r>
        <w:rPr>
          <w:rFonts w:ascii="Times New Roman" w:hAnsi="Times New Roman" w:cs="Times New Roman"/>
          <w:sz w:val="24"/>
          <w:szCs w:val="24"/>
        </w:rPr>
        <w:t>инансового аудита</w:t>
      </w:r>
      <w:r w:rsidR="00662D26">
        <w:rPr>
          <w:rFonts w:ascii="Times New Roman" w:hAnsi="Times New Roman" w:cs="Times New Roman"/>
          <w:sz w:val="24"/>
          <w:szCs w:val="24"/>
        </w:rPr>
        <w:t xml:space="preserve"> и внутреннего финансового контроля</w:t>
      </w:r>
      <w:r w:rsidR="00880D70" w:rsidRPr="00880D70">
        <w:rPr>
          <w:rFonts w:ascii="Times New Roman" w:hAnsi="Times New Roman" w:cs="Times New Roman"/>
          <w:sz w:val="24"/>
          <w:szCs w:val="24"/>
        </w:rPr>
        <w:t>;</w:t>
      </w:r>
    </w:p>
    <w:p w:rsidR="00880D70" w:rsidRPr="00880D70" w:rsidRDefault="00880D70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  <w:sz w:val="24"/>
          <w:szCs w:val="24"/>
        </w:rPr>
        <w:t xml:space="preserve"> - оценка качества управления активами;</w:t>
      </w:r>
    </w:p>
    <w:p w:rsidR="00437E10" w:rsidRPr="00880D70" w:rsidRDefault="00520418" w:rsidP="00880D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849C4">
        <w:rPr>
          <w:rFonts w:ascii="Times New Roman" w:hAnsi="Times New Roman" w:cs="Times New Roman"/>
          <w:sz w:val="24"/>
          <w:szCs w:val="24"/>
        </w:rPr>
        <w:t xml:space="preserve"> </w:t>
      </w:r>
      <w:r w:rsidR="00880D70" w:rsidRPr="00880D70">
        <w:rPr>
          <w:rFonts w:ascii="Times New Roman" w:hAnsi="Times New Roman" w:cs="Times New Roman"/>
          <w:sz w:val="24"/>
          <w:szCs w:val="24"/>
        </w:rPr>
        <w:t>оценка качества исполнения бюджетных процедур во взаимосвязи с выявленными бюджетными нарушениями.</w:t>
      </w:r>
    </w:p>
    <w:p w:rsidR="00437E10" w:rsidRPr="00880D70" w:rsidRDefault="00437E10" w:rsidP="00B034A6">
      <w:pPr>
        <w:jc w:val="both"/>
        <w:rPr>
          <w:rFonts w:ascii="Times New Roman" w:hAnsi="Times New Roman" w:cs="Times New Roman"/>
        </w:rPr>
      </w:pPr>
    </w:p>
    <w:p w:rsidR="00437E10" w:rsidRPr="00880D70" w:rsidRDefault="00437E10" w:rsidP="00B034A6">
      <w:pPr>
        <w:jc w:val="both"/>
        <w:rPr>
          <w:rFonts w:ascii="Times New Roman" w:hAnsi="Times New Roman" w:cs="Times New Roman"/>
          <w:sz w:val="24"/>
          <w:szCs w:val="24"/>
        </w:rPr>
      </w:pPr>
      <w:r w:rsidRPr="00880D70">
        <w:rPr>
          <w:rFonts w:ascii="Times New Roman" w:hAnsi="Times New Roman" w:cs="Times New Roman"/>
        </w:rPr>
        <w:tab/>
      </w:r>
      <w:r w:rsidRPr="00880D70">
        <w:rPr>
          <w:rFonts w:ascii="Times New Roman" w:hAnsi="Times New Roman" w:cs="Times New Roman"/>
          <w:sz w:val="24"/>
          <w:szCs w:val="24"/>
        </w:rPr>
        <w:t>Итоговая оценка по ГАБС оценивается по 5 – балльной шкале.</w:t>
      </w:r>
    </w:p>
    <w:p w:rsidR="00022F41" w:rsidRDefault="00DB4B85" w:rsidP="004466CC">
      <w:pPr>
        <w:jc w:val="left"/>
        <w:rPr>
          <w:rFonts w:ascii="Times New Roman" w:hAnsi="Times New Roman" w:cs="Times New Roman"/>
        </w:rPr>
      </w:pPr>
      <w:r w:rsidRPr="00880D70">
        <w:rPr>
          <w:rFonts w:ascii="Times New Roman" w:hAnsi="Times New Roman" w:cs="Times New Roman"/>
        </w:rPr>
        <w:t xml:space="preserve"> </w:t>
      </w: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194A19" w:rsidRDefault="00194A19" w:rsidP="004466CC">
      <w:pPr>
        <w:jc w:val="left"/>
        <w:rPr>
          <w:rFonts w:ascii="Times New Roman" w:hAnsi="Times New Roman" w:cs="Times New Roman"/>
        </w:rPr>
      </w:pPr>
    </w:p>
    <w:p w:rsidR="00194A19" w:rsidRDefault="00194A19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4466CC" w:rsidRDefault="004466CC" w:rsidP="004466CC">
      <w:pPr>
        <w:jc w:val="left"/>
        <w:rPr>
          <w:rFonts w:ascii="Times New Roman" w:hAnsi="Times New Roman" w:cs="Times New Roman"/>
        </w:rPr>
      </w:pPr>
    </w:p>
    <w:p w:rsidR="00122FD6" w:rsidRDefault="00712F4E" w:rsidP="008D41BE">
      <w:pPr>
        <w:jc w:val="both"/>
        <w:rPr>
          <w:rFonts w:ascii="Times New Roman" w:hAnsi="Times New Roman" w:cs="Times New Roman"/>
          <w:sz w:val="28"/>
          <w:szCs w:val="28"/>
        </w:rPr>
      </w:pPr>
      <w:r w:rsidRPr="00880D70">
        <w:rPr>
          <w:rFonts w:ascii="Times New Roman" w:hAnsi="Times New Roman" w:cs="Times New Roman"/>
          <w:sz w:val="28"/>
          <w:szCs w:val="28"/>
        </w:rPr>
        <w:lastRenderedPageBreak/>
        <w:t>Рейтинг</w:t>
      </w:r>
      <w:r w:rsidR="00DB4B85" w:rsidRPr="00880D70">
        <w:rPr>
          <w:rFonts w:ascii="Times New Roman" w:hAnsi="Times New Roman" w:cs="Times New Roman"/>
          <w:sz w:val="28"/>
          <w:szCs w:val="28"/>
        </w:rPr>
        <w:t xml:space="preserve"> </w:t>
      </w:r>
      <w:r w:rsidR="00022F41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 ГАБС </w:t>
      </w:r>
      <w:r w:rsidR="00DB4B85" w:rsidRPr="00880D70">
        <w:rPr>
          <w:rFonts w:ascii="Times New Roman" w:hAnsi="Times New Roman" w:cs="Times New Roman"/>
          <w:sz w:val="28"/>
          <w:szCs w:val="28"/>
        </w:rPr>
        <w:t xml:space="preserve">за </w:t>
      </w:r>
      <w:r w:rsidR="001A1540" w:rsidRPr="00880D70">
        <w:rPr>
          <w:rFonts w:ascii="Times New Roman" w:hAnsi="Times New Roman" w:cs="Times New Roman"/>
          <w:sz w:val="28"/>
          <w:szCs w:val="28"/>
        </w:rPr>
        <w:t>20</w:t>
      </w:r>
      <w:r w:rsidR="00DD3975" w:rsidRPr="00880D70">
        <w:rPr>
          <w:rFonts w:ascii="Times New Roman" w:hAnsi="Times New Roman" w:cs="Times New Roman"/>
          <w:sz w:val="28"/>
          <w:szCs w:val="28"/>
        </w:rPr>
        <w:t>2</w:t>
      </w:r>
      <w:r w:rsidR="00EC7B04">
        <w:rPr>
          <w:rFonts w:ascii="Times New Roman" w:hAnsi="Times New Roman" w:cs="Times New Roman"/>
          <w:sz w:val="28"/>
          <w:szCs w:val="28"/>
        </w:rPr>
        <w:t>4</w:t>
      </w:r>
      <w:r w:rsidR="001A1540" w:rsidRPr="00880D7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466CC" w:rsidRPr="00122FD6" w:rsidRDefault="004466CC" w:rsidP="00194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C46" w:rsidRPr="00B034A6" w:rsidRDefault="00D552A7" w:rsidP="00EB5AE9">
      <w:pPr>
        <w:jc w:val="center"/>
      </w:pPr>
      <w:bookmarkStart w:id="0" w:name="_GoBack"/>
      <w:r w:rsidRPr="00E216F0">
        <w:rPr>
          <w:noProof/>
          <w:sz w:val="28"/>
          <w:szCs w:val="28"/>
          <w:highlight w:val="yellow"/>
          <w:shd w:val="clear" w:color="auto" w:fill="FFFFFF" w:themeFill="background1"/>
          <w:lang w:eastAsia="ru-RU"/>
        </w:rPr>
        <w:drawing>
          <wp:inline distT="0" distB="0" distL="0" distR="0" wp14:anchorId="28F606E5" wp14:editId="46043596">
            <wp:extent cx="6581775" cy="87344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FD0C46" w:rsidRPr="00B034A6" w:rsidSect="009428D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4A6"/>
    <w:rsid w:val="000059EE"/>
    <w:rsid w:val="0001227D"/>
    <w:rsid w:val="00014E6F"/>
    <w:rsid w:val="00022F41"/>
    <w:rsid w:val="00033560"/>
    <w:rsid w:val="0003499F"/>
    <w:rsid w:val="00043C82"/>
    <w:rsid w:val="000478E0"/>
    <w:rsid w:val="000629F7"/>
    <w:rsid w:val="00071EBE"/>
    <w:rsid w:val="0008472E"/>
    <w:rsid w:val="000B3111"/>
    <w:rsid w:val="000D7BA5"/>
    <w:rsid w:val="00122FD6"/>
    <w:rsid w:val="00132492"/>
    <w:rsid w:val="00135FEE"/>
    <w:rsid w:val="001611C4"/>
    <w:rsid w:val="00183747"/>
    <w:rsid w:val="00186A95"/>
    <w:rsid w:val="00194A19"/>
    <w:rsid w:val="001A1540"/>
    <w:rsid w:val="001A1F53"/>
    <w:rsid w:val="001B27AB"/>
    <w:rsid w:val="001C2F9F"/>
    <w:rsid w:val="001C7D7F"/>
    <w:rsid w:val="001E0FDD"/>
    <w:rsid w:val="00226814"/>
    <w:rsid w:val="00230269"/>
    <w:rsid w:val="00243D0D"/>
    <w:rsid w:val="00265902"/>
    <w:rsid w:val="002D5ED4"/>
    <w:rsid w:val="00342B2E"/>
    <w:rsid w:val="003511DB"/>
    <w:rsid w:val="0037009C"/>
    <w:rsid w:val="003849C4"/>
    <w:rsid w:val="00392FE3"/>
    <w:rsid w:val="003C1838"/>
    <w:rsid w:val="003C7AC6"/>
    <w:rsid w:val="003E59C4"/>
    <w:rsid w:val="00405D4D"/>
    <w:rsid w:val="00437E10"/>
    <w:rsid w:val="004466CC"/>
    <w:rsid w:val="004478CA"/>
    <w:rsid w:val="004513F9"/>
    <w:rsid w:val="0048095D"/>
    <w:rsid w:val="00482266"/>
    <w:rsid w:val="0048347C"/>
    <w:rsid w:val="00520418"/>
    <w:rsid w:val="00540DC6"/>
    <w:rsid w:val="00542058"/>
    <w:rsid w:val="00542D41"/>
    <w:rsid w:val="00543E62"/>
    <w:rsid w:val="0054625E"/>
    <w:rsid w:val="00571FB9"/>
    <w:rsid w:val="00576BF3"/>
    <w:rsid w:val="005775EE"/>
    <w:rsid w:val="006015F7"/>
    <w:rsid w:val="00606B29"/>
    <w:rsid w:val="006354B0"/>
    <w:rsid w:val="00636A99"/>
    <w:rsid w:val="0064776F"/>
    <w:rsid w:val="00662D26"/>
    <w:rsid w:val="006910F0"/>
    <w:rsid w:val="00696E7F"/>
    <w:rsid w:val="006B70C4"/>
    <w:rsid w:val="006E1FB3"/>
    <w:rsid w:val="006F3DE8"/>
    <w:rsid w:val="007125BB"/>
    <w:rsid w:val="00712F4E"/>
    <w:rsid w:val="0071734B"/>
    <w:rsid w:val="00725CE1"/>
    <w:rsid w:val="007601AE"/>
    <w:rsid w:val="0078742C"/>
    <w:rsid w:val="007A6BB1"/>
    <w:rsid w:val="007B20EF"/>
    <w:rsid w:val="007E6B75"/>
    <w:rsid w:val="00867E07"/>
    <w:rsid w:val="00880D70"/>
    <w:rsid w:val="008D41BE"/>
    <w:rsid w:val="008D621F"/>
    <w:rsid w:val="00903A84"/>
    <w:rsid w:val="009428D7"/>
    <w:rsid w:val="00942A37"/>
    <w:rsid w:val="009750E1"/>
    <w:rsid w:val="0099476D"/>
    <w:rsid w:val="009B5723"/>
    <w:rsid w:val="009C22EF"/>
    <w:rsid w:val="009E0030"/>
    <w:rsid w:val="009E341B"/>
    <w:rsid w:val="009F239A"/>
    <w:rsid w:val="009F4AB3"/>
    <w:rsid w:val="00A06B4D"/>
    <w:rsid w:val="00A37E5D"/>
    <w:rsid w:val="00A635DD"/>
    <w:rsid w:val="00A73AC7"/>
    <w:rsid w:val="00A8684D"/>
    <w:rsid w:val="00AA07C0"/>
    <w:rsid w:val="00AB53E4"/>
    <w:rsid w:val="00B011FE"/>
    <w:rsid w:val="00B034A6"/>
    <w:rsid w:val="00B10FFB"/>
    <w:rsid w:val="00B35032"/>
    <w:rsid w:val="00B72C95"/>
    <w:rsid w:val="00B8171F"/>
    <w:rsid w:val="00BE7E10"/>
    <w:rsid w:val="00C40A0A"/>
    <w:rsid w:val="00C53551"/>
    <w:rsid w:val="00C71B66"/>
    <w:rsid w:val="00CC0B8D"/>
    <w:rsid w:val="00CC1C45"/>
    <w:rsid w:val="00D22480"/>
    <w:rsid w:val="00D552A7"/>
    <w:rsid w:val="00D6115D"/>
    <w:rsid w:val="00D87B67"/>
    <w:rsid w:val="00DB4B85"/>
    <w:rsid w:val="00DD3975"/>
    <w:rsid w:val="00DF0795"/>
    <w:rsid w:val="00E01B2D"/>
    <w:rsid w:val="00E17624"/>
    <w:rsid w:val="00E2112C"/>
    <w:rsid w:val="00E216F0"/>
    <w:rsid w:val="00E64B7A"/>
    <w:rsid w:val="00E726AF"/>
    <w:rsid w:val="00EB5AE9"/>
    <w:rsid w:val="00EC7B04"/>
    <w:rsid w:val="00F369BB"/>
    <w:rsid w:val="00F612D4"/>
    <w:rsid w:val="00F74715"/>
    <w:rsid w:val="00FC0477"/>
    <w:rsid w:val="00FD0C46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7BAA5-60B6-4C3B-A27E-3B4A09C0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0D7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258786573530697"/>
          <c:y val="4.5108865208642808E-4"/>
          <c:w val="0.72623545513600918"/>
          <c:h val="0.7432593444903357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Управление расходами бюджета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Лист1!$C$5:$M$5</c:f>
              <c:numCache>
                <c:formatCode>0.00</c:formatCode>
                <c:ptCount val="11"/>
                <c:pt idx="0" formatCode="_-* #,##0.00_р_._-;\-* #,##0.00_р_._-;_-* &quot;-&quot;??_р_._-;_-@_-">
                  <c:v>4.88</c:v>
                </c:pt>
                <c:pt idx="1">
                  <c:v>5</c:v>
                </c:pt>
                <c:pt idx="3" formatCode="_-* #,##0.00_р_._-;\-* #,##0.00_р_._-;_-* &quot;-&quot;??_р_._-;_-@_-">
                  <c:v>2.5</c:v>
                </c:pt>
                <c:pt idx="5" formatCode="_-* #,##0.00_р_._-;\-* #,##0.00_р_._-;_-* &quot;-&quot;??_р_._-;_-@_-">
                  <c:v>4.5999999999999996</c:v>
                </c:pt>
                <c:pt idx="6" formatCode="_-* #,##0.00_р_._-;\-* #,##0.00_р_._-;_-* &quot;-&quot;??_р_._-;_-@_-">
                  <c:v>4.57</c:v>
                </c:pt>
                <c:pt idx="7" formatCode="#,##0.00">
                  <c:v>4.57</c:v>
                </c:pt>
                <c:pt idx="8" formatCode="_-* #,##0.00_р_._-;\-* #,##0.00_р_._-;_-* &quot;-&quot;??_р_._-;_-@_-">
                  <c:v>5</c:v>
                </c:pt>
                <c:pt idx="9" formatCode="_-* #,##0.00_р_._-;\-* #,##0.00_р_._-;_-* &quot;-&quot;??_р_._-;_-@_-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Управление доходами бюджета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Лист1!$C$6:$M$6</c:f>
              <c:numCache>
                <c:formatCode>#,##0.00</c:formatCode>
                <c:ptCount val="11"/>
                <c:pt idx="0" formatCode="_-* #,##0.00_р_._-;\-* #,##0.00_р_._-;_-* &quot;-&quot;??_р_._-;_-@_-">
                  <c:v>4.17</c:v>
                </c:pt>
                <c:pt idx="1">
                  <c:v>5</c:v>
                </c:pt>
                <c:pt idx="3" formatCode="_-* #,##0.00_р_._-;\-* #,##0.00_р_._-;_-* &quot;-&quot;??_р_._-;_-@_-">
                  <c:v>4.17</c:v>
                </c:pt>
                <c:pt idx="5" formatCode="_-* #,##0.00_р_._-;\-* #,##0.00_р_._-;_-* &quot;-&quot;??_р_._-;_-@_-">
                  <c:v>5</c:v>
                </c:pt>
                <c:pt idx="6" formatCode="_-* #,##0.00_р_._-;\-* #,##0.00_р_._-;_-* &quot;-&quot;??_р_._-;_-@_-">
                  <c:v>5</c:v>
                </c:pt>
                <c:pt idx="7">
                  <c:v>5</c:v>
                </c:pt>
                <c:pt idx="8" formatCode="_-* #,##0.00_р_._-;\-* #,##0.00_р_._-;_-* &quot;-&quot;??_р_._-;_-@_-">
                  <c:v>5</c:v>
                </c:pt>
                <c:pt idx="9" formatCode="_-* #,##0.00_р_._-;\-* #,##0.00_р_._-;_-* &quot;-&quot;??_р_._-;_-@_-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Ведение учёта и составление бюджетной отчётности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Лист1!$C$7:$M$7</c:f>
              <c:numCache>
                <c:formatCode>#,##0.00</c:formatCode>
                <c:ptCount val="11"/>
                <c:pt idx="0" formatCode="_-* #,##0.00_р_._-;\-* #,##0.00_р_._-;_-* &quot;-&quot;??_р_._-;_-@_-">
                  <c:v>5</c:v>
                </c:pt>
                <c:pt idx="1">
                  <c:v>5</c:v>
                </c:pt>
                <c:pt idx="3" formatCode="_-* #,##0.00_р_._-;\-* #,##0.00_р_._-;_-* &quot;-&quot;??_р_._-;_-@_-">
                  <c:v>4.67</c:v>
                </c:pt>
                <c:pt idx="5" formatCode="_-* #,##0.00_р_._-;\-* #,##0.00_р_._-;_-* &quot;-&quot;??_р_._-;_-@_-">
                  <c:v>5</c:v>
                </c:pt>
                <c:pt idx="6" formatCode="_-* #,##0.00_р_._-;\-* #,##0.00_р_._-;_-* &quot;-&quot;??_р_._-;_-@_-">
                  <c:v>5</c:v>
                </c:pt>
                <c:pt idx="7">
                  <c:v>5</c:v>
                </c:pt>
                <c:pt idx="8" formatCode="_-* #,##0.00_р_._-;\-* #,##0.00_р_._-;_-* &quot;-&quot;??_р_._-;_-@_-">
                  <c:v>5</c:v>
                </c:pt>
                <c:pt idx="9" formatCode="_-* #,##0.00_р_._-;\-* #,##0.00_р_._-;_-* &quot;-&quot;??_р_._-;_-@_-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Открытость бюджетных данных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9"/>
              <c:layout>
                <c:manualLayout>
                  <c:x val="-3.3881437758052297E-3"/>
                  <c:y val="1.14707035666343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Лист1!$C$8:$M$8</c:f>
              <c:numCache>
                <c:formatCode>#,##0.00</c:formatCode>
                <c:ptCount val="11"/>
                <c:pt idx="0" formatCode="_-* #,##0.00_р_._-;\-* #,##0.00_р_._-;_-* &quot;-&quot;??_р_._-;_-@_-">
                  <c:v>5</c:v>
                </c:pt>
                <c:pt idx="1">
                  <c:v>5</c:v>
                </c:pt>
                <c:pt idx="3" formatCode="_-* #,##0.00_р_._-;\-* #,##0.00_р_._-;_-* &quot;-&quot;??_р_._-;_-@_-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ser>
          <c:idx val="4"/>
          <c:order val="4"/>
          <c:tx>
            <c:strRef>
              <c:f>Лист1!$B$9</c:f>
              <c:strCache>
                <c:ptCount val="1"/>
                <c:pt idx="0">
                  <c:v>Организация и осуществление внутреннего финансового аудита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4.4585237265023494E-3"/>
                  <c:y val="1.0632640385600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791914035354687E-4"/>
                  <c:y val="-3.06946364528967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806706114398421E-2"/>
                  <c:y val="-3.3833141099577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1558185404339252E-2"/>
                  <c:y val="-3.3833141099577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3668639053254364E-2"/>
                  <c:y val="-3.5371011149557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7475345167652933E-2"/>
                  <c:y val="-3.3833141099577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Лист1!$C$9:$M$9</c:f>
              <c:numCache>
                <c:formatCode>#,##0.00</c:formatCode>
                <c:ptCount val="11"/>
                <c:pt idx="0">
                  <c:v>2.5</c:v>
                </c:pt>
                <c:pt idx="1">
                  <c:v>5</c:v>
                </c:pt>
                <c:pt idx="3">
                  <c:v>2.5</c:v>
                </c:pt>
                <c:pt idx="5" formatCode="#,##0.00_ ;\-#,##0.00\ ">
                  <c:v>0</c:v>
                </c:pt>
                <c:pt idx="6" formatCode="#,##0.00_ ;\-#,##0.00\ ">
                  <c:v>0</c:v>
                </c:pt>
                <c:pt idx="7">
                  <c:v>0</c:v>
                </c:pt>
                <c:pt idx="8" formatCode="#,##0.00_ ;\-#,##0.00\ ">
                  <c:v>0</c:v>
                </c:pt>
                <c:pt idx="9" formatCode="_-* #,##0.00_р_._-;\-* #,##0.00_р_._-;_-* &quot;-&quot;??_р_._-;_-@_-">
                  <c:v>5</c:v>
                </c:pt>
              </c:numCache>
            </c:numRef>
          </c:val>
        </c:ser>
        <c:ser>
          <c:idx val="5"/>
          <c:order val="5"/>
          <c:tx>
            <c:strRef>
              <c:f>Лист1!$B$10</c:f>
              <c:strCache>
                <c:ptCount val="1"/>
                <c:pt idx="0">
                  <c:v>Управление активами</c:v>
                </c:pt>
              </c:strCache>
            </c:strRef>
          </c:tx>
          <c:spPr>
            <a:solidFill>
              <a:srgbClr val="FFFF0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2.2790204769989857E-4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9.6478533526288979E-3"/>
                  <c:y val="-3.4896401308615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402289210890058E-2"/>
                  <c:y val="2.822142506288747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664426117541572E-2"/>
                      <c:h val="2.7098969056129168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9723865877712033E-3"/>
                  <c:y val="1.53787004998077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Лист1!$C$10:$M$10</c:f>
              <c:numCache>
                <c:formatCode>#,##0.00</c:formatCode>
                <c:ptCount val="11"/>
                <c:pt idx="0" formatCode="_-* #,##0.00_р_._-;\-* #,##0.00_р_._-;_-* &quot;-&quot;??_р_._-;_-@_-">
                  <c:v>2.5</c:v>
                </c:pt>
                <c:pt idx="1">
                  <c:v>0</c:v>
                </c:pt>
                <c:pt idx="3" formatCode="_-* #,##0.00_р_._-;\-* #,##0.00_р_._-;_-* &quot;-&quot;??_р_._-;_-@_-">
                  <c:v>5</c:v>
                </c:pt>
                <c:pt idx="5" formatCode="_-* #,##0.00_р_._-;\-* #,##0.00_р_._-;_-* &quot;-&quot;??_р_._-;_-@_-">
                  <c:v>2.5</c:v>
                </c:pt>
                <c:pt idx="6" formatCode="_-* #,##0.00_р_._-;\-* #,##0.00_р_._-;_-* &quot;-&quot;??_р_._-;_-@_-">
                  <c:v>5</c:v>
                </c:pt>
                <c:pt idx="7">
                  <c:v>5</c:v>
                </c:pt>
                <c:pt idx="8" formatCode="_-* #,##0.00_р_._-;\-* #,##0.00_р_._-;_-* &quot;-&quot;??_р_._-;_-@_-">
                  <c:v>5</c:v>
                </c:pt>
                <c:pt idx="9" formatCode="_-* #,##0.00_р_._-;\-* #,##0.00_р_._-;_-* &quot;-&quot;??_р_._-;_-@_-">
                  <c:v>5</c:v>
                </c:pt>
              </c:numCache>
            </c:numRef>
          </c:val>
        </c:ser>
        <c:ser>
          <c:idx val="6"/>
          <c:order val="6"/>
          <c:tx>
            <c:strRef>
              <c:f>Лист1!$B$11</c:f>
              <c:strCache>
                <c:ptCount val="1"/>
                <c:pt idx="0">
                  <c:v>Исполнение бюджетных процедур во взаимосвязи с выявленными бюджетными нарушениями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Лист1!$C$4:$M$4</c:f>
              <c:strCache>
                <c:ptCount val="11"/>
                <c:pt idx="0">
                  <c:v>Управление культуры, спорта и молодежной политики администрации Тайшетского района</c:v>
                </c:pt>
                <c:pt idx="1">
                  <c:v>Управление образования администрации Тайшетского района</c:v>
                </c:pt>
                <c:pt idx="2">
                  <c:v>III группа</c:v>
                </c:pt>
                <c:pt idx="3">
                  <c:v>Комитет по управлению муниципальным имуществом, строительству, архитектуре и жилищно-коммунальному хозяйству администрации Тайшетского района</c:v>
                </c:pt>
                <c:pt idx="4">
                  <c:v>II группа</c:v>
                </c:pt>
                <c:pt idx="5">
                  <c:v>Дума Тайшетского района</c:v>
                </c:pt>
                <c:pt idx="6">
                  <c:v>Администрация района</c:v>
                </c:pt>
                <c:pt idx="7">
                  <c:v>Единая дежурно-диспетчерская служба Тайшетского района</c:v>
                </c:pt>
                <c:pt idx="8">
                  <c:v>Контрольно-счетная палата района</c:v>
                </c:pt>
                <c:pt idx="9">
                  <c:v>Финансовое управление администрации Тайшетского района</c:v>
                </c:pt>
                <c:pt idx="10">
                  <c:v>I группа</c:v>
                </c:pt>
              </c:strCache>
            </c:strRef>
          </c:cat>
          <c:val>
            <c:numRef>
              <c:f>Лист1!$C$11:$M$11</c:f>
              <c:numCache>
                <c:formatCode>#,##0.00</c:formatCode>
                <c:ptCount val="11"/>
                <c:pt idx="0" formatCode="#,##0.00_ ;\-#,##0.00\ ">
                  <c:v>5</c:v>
                </c:pt>
                <c:pt idx="1">
                  <c:v>5</c:v>
                </c:pt>
                <c:pt idx="3" formatCode="#,##0.00_ ;\-#,##0.00\ ">
                  <c:v>5</c:v>
                </c:pt>
                <c:pt idx="5" formatCode="#,##0.00_ ;\-#,##0.00\ ">
                  <c:v>5</c:v>
                </c:pt>
                <c:pt idx="6" formatCode="#,##0.00_ ;\-#,##0.00\ ">
                  <c:v>5</c:v>
                </c:pt>
                <c:pt idx="7">
                  <c:v>5</c:v>
                </c:pt>
                <c:pt idx="8" formatCode="#,##0.00_ ;\-#,##0.00\ ">
                  <c:v>5</c:v>
                </c:pt>
                <c:pt idx="9" formatCode="_-* #,##0.00_р_._-;\-* #,##0.00_р_._-;_-* &quot;-&quot;??_р_._-;_-@_-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370154000"/>
        <c:axId val="-1370173040"/>
      </c:barChart>
      <c:catAx>
        <c:axId val="-13701540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-1370173040"/>
        <c:crosses val="autoZero"/>
        <c:auto val="1"/>
        <c:lblAlgn val="ctr"/>
        <c:lblOffset val="100"/>
        <c:tickLblSkip val="1"/>
        <c:noMultiLvlLbl val="0"/>
      </c:catAx>
      <c:valAx>
        <c:axId val="-1370173040"/>
        <c:scaling>
          <c:orientation val="minMax"/>
        </c:scaling>
        <c:delete val="1"/>
        <c:axPos val="b"/>
        <c:numFmt formatCode="#,##0" sourceLinked="0"/>
        <c:majorTickMark val="out"/>
        <c:minorTickMark val="none"/>
        <c:tickLblPos val="none"/>
        <c:crossAx val="-1370154000"/>
        <c:crosses val="autoZero"/>
        <c:crossBetween val="between"/>
      </c:valAx>
      <c:spPr>
        <a:solidFill>
          <a:schemeClr val="bg1"/>
        </a:solidFill>
      </c:spPr>
    </c:plotArea>
    <c:legend>
      <c:legendPos val="b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"/>
          <c:y val="0.77588049585404872"/>
          <c:w val="1"/>
          <c:h val="0.2121009682949937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0.91181</cdr:x>
      <cdr:y>0.08659</cdr:y>
    </cdr:from>
    <cdr:to>
      <cdr:x>0.99195</cdr:x>
      <cdr:y>0.12119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6001325" y="756314"/>
          <a:ext cx="527463" cy="3022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5,00</a:t>
          </a: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0.00236</cdr:x>
      <cdr:y>0.00367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0.81476</cdr:x>
      <cdr:y>0.15165</cdr:y>
    </cdr:from>
    <cdr:to>
      <cdr:x>0.98264</cdr:x>
      <cdr:y>0.18648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5362575" y="1324562"/>
          <a:ext cx="1104920" cy="3042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/>
            <a:t>4,75</a:t>
          </a:r>
        </a:p>
      </cdr:txBody>
    </cdr:sp>
  </cdr:relSizeAnchor>
  <cdr:relSizeAnchor xmlns:cdr="http://schemas.openxmlformats.org/drawingml/2006/chartDrawing">
    <cdr:from>
      <cdr:x>0.80897</cdr:x>
      <cdr:y>0.22336</cdr:y>
    </cdr:from>
    <cdr:to>
      <cdr:x>0.88857</cdr:x>
      <cdr:y>0.25912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5324474" y="1950921"/>
          <a:ext cx="523875" cy="3123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/>
            <a:t>4,58</a:t>
          </a:r>
        </a:p>
      </cdr:txBody>
    </cdr:sp>
  </cdr:relSizeAnchor>
  <cdr:relSizeAnchor xmlns:cdr="http://schemas.openxmlformats.org/drawingml/2006/chartDrawing">
    <cdr:from>
      <cdr:x>0.80897</cdr:x>
      <cdr:y>0.29091</cdr:y>
    </cdr:from>
    <cdr:to>
      <cdr:x>0.90159</cdr:x>
      <cdr:y>0.32206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5324475" y="2540932"/>
          <a:ext cx="609599" cy="272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100"/>
            <a:t>4,58</a:t>
          </a:r>
        </a:p>
      </cdr:txBody>
    </cdr:sp>
  </cdr:relSizeAnchor>
  <cdr:relSizeAnchor xmlns:cdr="http://schemas.openxmlformats.org/drawingml/2006/chartDrawing">
    <cdr:from>
      <cdr:x>0.90671</cdr:x>
      <cdr:y>0.60957</cdr:y>
    </cdr:from>
    <cdr:to>
      <cdr:x>0.9749</cdr:x>
      <cdr:y>0.64314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6027089" y="5486401"/>
          <a:ext cx="453223" cy="302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0.86979</cdr:x>
      <cdr:y>0.40621</cdr:y>
    </cdr:from>
    <cdr:to>
      <cdr:x>0.93857</cdr:x>
      <cdr:y>0.44278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5781675" y="3656089"/>
          <a:ext cx="457200" cy="329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0.89116</cdr:x>
      <cdr:y>0.44702</cdr:y>
    </cdr:from>
    <cdr:to>
      <cdr:x>0.94952</cdr:x>
      <cdr:y>0.5334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5923722" y="4023360"/>
          <a:ext cx="387908" cy="777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0.92705</cdr:x>
      <cdr:y>0.52741</cdr:y>
    </cdr:from>
    <cdr:to>
      <cdr:x>0.98207</cdr:x>
      <cdr:y>0.62989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6162261" y="4746930"/>
          <a:ext cx="365735" cy="9223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0.76122</cdr:x>
      <cdr:y>0.35602</cdr:y>
    </cdr:from>
    <cdr:to>
      <cdr:x>0.86834</cdr:x>
      <cdr:y>0.38717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10800000" flipV="1">
          <a:off x="5010149" y="3109630"/>
          <a:ext cx="705069" cy="2720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4,34</a:t>
          </a:r>
        </a:p>
        <a:p xmlns:a="http://schemas.openxmlformats.org/drawingml/2006/main">
          <a:endParaRPr lang="ru-RU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0.7974</cdr:x>
      <cdr:y>0.49298</cdr:y>
    </cdr:from>
    <cdr:to>
      <cdr:x>0.92475</cdr:x>
      <cdr:y>0.52067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5248275" y="4305897"/>
          <a:ext cx="838200" cy="2418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3,72</a:t>
          </a:r>
        </a:p>
      </cdr:txBody>
    </cdr:sp>
  </cdr:relSizeAnchor>
  <cdr:relSizeAnchor xmlns:cdr="http://schemas.openxmlformats.org/drawingml/2006/chartDrawing">
    <cdr:from>
      <cdr:x>0.81653</cdr:x>
      <cdr:y>0.62667</cdr:y>
    </cdr:from>
    <cdr:to>
      <cdr:x>0.90529</cdr:x>
      <cdr:y>0.65205</cdr:y>
    </cdr:to>
    <cdr:sp macro="" textlink="">
      <cdr:nvSpPr>
        <cdr:cNvPr id="14" name="Прямоугольник 13"/>
        <cdr:cNvSpPr/>
      </cdr:nvSpPr>
      <cdr:spPr>
        <a:xfrm xmlns:a="http://schemas.openxmlformats.org/drawingml/2006/main">
          <a:off x="5374237" y="5473602"/>
          <a:ext cx="584198" cy="2216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4,50</a:t>
          </a:r>
        </a:p>
      </cdr:txBody>
    </cdr:sp>
  </cdr:relSizeAnchor>
  <cdr:relSizeAnchor xmlns:cdr="http://schemas.openxmlformats.org/drawingml/2006/chartDrawing">
    <cdr:from>
      <cdr:x>0.80318</cdr:x>
      <cdr:y>0.69372</cdr:y>
    </cdr:from>
    <cdr:to>
      <cdr:x>0.89146</cdr:x>
      <cdr:y>0.72602</cdr:y>
    </cdr:to>
    <cdr:sp macro="" textlink="">
      <cdr:nvSpPr>
        <cdr:cNvPr id="17" name="Прямоугольник 16"/>
        <cdr:cNvSpPr/>
      </cdr:nvSpPr>
      <cdr:spPr>
        <a:xfrm xmlns:a="http://schemas.openxmlformats.org/drawingml/2006/main">
          <a:off x="5286376" y="6059245"/>
          <a:ext cx="581024" cy="2821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4,45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661A-1507-4114-B15C-7889D4DF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</dc:creator>
  <cp:keywords/>
  <dc:description/>
  <cp:lastModifiedBy>Финуправление</cp:lastModifiedBy>
  <cp:revision>100</cp:revision>
  <cp:lastPrinted>2025-05-20T05:53:00Z</cp:lastPrinted>
  <dcterms:created xsi:type="dcterms:W3CDTF">2017-03-30T07:51:00Z</dcterms:created>
  <dcterms:modified xsi:type="dcterms:W3CDTF">2025-05-20T05:54:00Z</dcterms:modified>
</cp:coreProperties>
</file>