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0"/>
        <w:jc w:val="both"/>
        <w:rPr>
          <w:b w:val="0"/>
        </w:rPr>
      </w:pPr>
      <w:r>
        <w:rPr>
          <w:b w:val="0"/>
        </w:rPr>
        <w:t>Налоговые льготы для предпринимателей</w:t>
      </w:r>
    </w:p>
    <w:p w14:paraId="02000000">
      <w:pPr>
        <w:widowControl w:val="1"/>
        <w:spacing w:after="0"/>
        <w:ind w:firstLine="0"/>
        <w:jc w:val="both"/>
        <w:rPr>
          <w:b w:val="0"/>
        </w:rPr>
      </w:pPr>
    </w:p>
    <w:p w14:paraId="03000000">
      <w:pPr>
        <w:widowControl w:val="1"/>
        <w:spacing w:after="0"/>
        <w:ind w:firstLine="709"/>
        <w:jc w:val="both"/>
        <w:rPr>
          <w:rFonts w:ascii="Times New Roman" w:hAnsi="Times New Roman"/>
          <w:b w:val="0"/>
          <w:color w:val="000000"/>
          <w:u w:val="none"/>
        </w:rPr>
      </w:pPr>
      <w:bookmarkStart w:id="1" w:name="_Hlk180145305"/>
      <w:bookmarkEnd w:id="1"/>
      <w:r>
        <w:rPr>
          <w:rFonts w:ascii="Times New Roman" w:hAnsi="Times New Roman"/>
          <w:b w:val="0"/>
          <w:color w:val="000000"/>
          <w:u w:val="none"/>
        </w:rPr>
        <w:t>Субъекты малого предпринимательства с основным видом деятельности по предоставлению продуктов питания и напитков, занимающиеся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обрабатывающим производством</w:t>
      </w:r>
      <w:r>
        <w:rPr>
          <w:rFonts w:ascii="Times New Roman" w:hAnsi="Times New Roman"/>
          <w:b w:val="0"/>
          <w:color w:val="000000"/>
          <w:u w:val="none"/>
        </w:rPr>
        <w:t>, а также деятельности из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Перечня</w:t>
      </w:r>
      <w:r>
        <w:rPr>
          <w:rFonts w:ascii="Times New Roman" w:hAnsi="Times New Roman"/>
          <w:b w:val="0"/>
          <w:color w:val="000000"/>
          <w:u w:val="none"/>
        </w:rPr>
        <w:t>, утвержденного Распоряжением Правительства РФ от 27.12.2025 N 4125-р, применяют единые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пониженные тарифы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при исчислении страховых взносов на ОПС, ОМС и на случай ВНиМ. Эти тарифы применяются в отношении определенной части ежемесячных выплат в пользу физических лиц. Для их применения необходимо выполнение установленных для этого условий (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пп. 17 п. 1</w:t>
      </w:r>
      <w:r>
        <w:rPr>
          <w:rFonts w:ascii="Times New Roman" w:hAnsi="Times New Roman"/>
          <w:b w:val="0"/>
          <w:color w:val="000000"/>
          <w:u w:val="none"/>
        </w:rPr>
        <w:t>,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п. п. 2.4</w:t>
      </w:r>
      <w:r>
        <w:rPr>
          <w:rFonts w:ascii="Times New Roman" w:hAnsi="Times New Roman"/>
          <w:b w:val="0"/>
          <w:color w:val="000000"/>
          <w:u w:val="none"/>
        </w:rPr>
        <w:t>,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2.5</w:t>
      </w:r>
      <w:r>
        <w:rPr>
          <w:rFonts w:ascii="Times New Roman" w:hAnsi="Times New Roman"/>
          <w:b w:val="0"/>
          <w:color w:val="000000"/>
          <w:u w:val="none"/>
        </w:rPr>
        <w:t>,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3</w:t>
      </w:r>
      <w:r>
        <w:rPr>
          <w:rFonts w:ascii="Times New Roman" w:hAnsi="Times New Roman"/>
          <w:b w:val="0"/>
          <w:color w:val="000000"/>
          <w:u w:val="none"/>
        </w:rPr>
        <w:t>,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13.1</w:t>
      </w:r>
      <w:r>
        <w:rPr>
          <w:rFonts w:ascii="Times New Roman" w:hAnsi="Times New Roman"/>
          <w:b w:val="0"/>
          <w:color w:val="000000"/>
          <w:u w:val="none"/>
        </w:rPr>
        <w:t>,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13.2</w:t>
      </w:r>
      <w:r>
        <w:rPr>
          <w:rFonts w:ascii="Times New Roman" w:hAnsi="Times New Roman"/>
          <w:b w:val="0"/>
          <w:color w:val="000000"/>
          <w:u w:val="none"/>
        </w:rPr>
        <w:t>,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13.3 ст. 427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НК РФ).</w:t>
      </w:r>
    </w:p>
    <w:p w14:paraId="04000000">
      <w:pPr>
        <w:widowControl w:val="1"/>
        <w:spacing w:after="0"/>
        <w:ind w:firstLine="709"/>
        <w:jc w:val="both"/>
        <w:rPr>
          <w:rFonts w:ascii="Times New Roman" w:hAnsi="Times New Roman"/>
          <w:b w:val="0"/>
          <w:color w:val="000000"/>
          <w:u w:val="none"/>
        </w:rPr>
      </w:pPr>
      <w:r>
        <w:rPr>
          <w:rFonts w:ascii="Times New Roman" w:hAnsi="Times New Roman"/>
          <w:b w:val="0"/>
          <w:color w:val="000000"/>
          <w:u w:val="none"/>
        </w:rPr>
        <w:t>Еще одну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льготу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для субъектов малого предпринимательства предусматривает Налоговый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кодекс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РФ по НДС. Операции по выкупу такими субъектами государственного (муниципального) имущества, не закрепленного за государственными (муниципальными) предприятиями, в порядке, предусмотренном Федеральным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законом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от 22.07.2008 N 159-ФЗ, исключены из объектов обложения НДС (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пп. 12 п. 2 ст. 146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НК РФ). Поэтому для них стоимость имущества не увеличивается на сумму НДС и им не нужно перечислять этот налог в бюджет в качестве налогового агента (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п. 3 ст. 161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НК РФ).</w:t>
      </w:r>
    </w:p>
    <w:p w14:paraId="05000000">
      <w:pPr>
        <w:widowControl w:val="1"/>
        <w:spacing w:after="0"/>
        <w:ind w:firstLine="709"/>
        <w:jc w:val="both"/>
        <w:rPr>
          <w:rFonts w:ascii="Times New Roman" w:hAnsi="Times New Roman"/>
          <w:b w:val="0"/>
          <w:color w:val="000000"/>
          <w:u w:val="none"/>
        </w:rPr>
      </w:pPr>
      <w:r>
        <w:rPr>
          <w:b w:val="0"/>
          <w:color w:val="000000"/>
          <w:u w:val="none"/>
        </w:rPr>
        <w:t>Льготы субъектам малого предпринимательства может устанавливать не только Налоговый кодекс РФ, но и региональное законодательство или нормативные правовые акты представительных органов муниципальных образований, федеральной территории "Сириус" (</w:t>
      </w:r>
      <w:r>
        <w:rPr>
          <w:b w:val="0"/>
          <w:strike w:val="0"/>
          <w:color w:val="000000"/>
          <w:u w:color="000000" w:val="none"/>
        </w:rPr>
        <w:t>п. 3 ст. 56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 xml:space="preserve">НК РФ). </w:t>
      </w:r>
    </w:p>
    <w:p w14:paraId="06000000">
      <w:pPr>
        <w:widowControl w:val="1"/>
        <w:spacing w:after="0"/>
        <w:ind w:firstLine="709"/>
        <w:jc w:val="both"/>
        <w:rPr>
          <w:rFonts w:ascii="Times New Roman" w:hAnsi="Times New Roman"/>
          <w:b w:val="0"/>
          <w:color w:val="000000"/>
          <w:u w:val="none"/>
        </w:rPr>
      </w:pPr>
      <w:r>
        <w:rPr>
          <w:b w:val="0"/>
          <w:color w:val="000000"/>
          <w:u w:val="none"/>
        </w:rPr>
        <w:t>Для российских организаций, включенных в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реестр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малых технологических компаний, в 2025 - 2030 гг. субъекты РФ могут устанавливать пониженную ставку по налогу на прибыль (</w:t>
      </w:r>
      <w:r>
        <w:rPr>
          <w:b w:val="0"/>
          <w:strike w:val="0"/>
          <w:color w:val="000000"/>
          <w:u w:color="000000" w:val="none"/>
        </w:rPr>
        <w:t>п. 1.8-5 ст. 284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НК РФ). Кроме того, для таких компаний есть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особенности</w:t>
      </w:r>
      <w:r>
        <w:rPr>
          <w:b w:val="0"/>
          <w:color w:val="000000"/>
          <w:u w:val="none"/>
        </w:rPr>
        <w:t>, упрощающие учет расходов на НИОКР (</w:t>
      </w:r>
      <w:r>
        <w:rPr>
          <w:b w:val="0"/>
          <w:strike w:val="0"/>
          <w:color w:val="000000"/>
          <w:u w:color="000000" w:val="none"/>
        </w:rPr>
        <w:t>п. п. 7</w:t>
      </w:r>
      <w:r>
        <w:rPr>
          <w:b w:val="0"/>
          <w:color w:val="000000"/>
          <w:u w:val="none"/>
        </w:rPr>
        <w:t>,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9 ст. 262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НК РФ).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b w:val="0"/>
          <w:color w:val="000000"/>
          <w:u w:val="none"/>
        </w:rPr>
      </w:pPr>
      <w:r>
        <w:rPr>
          <w:b w:val="0"/>
          <w:color w:val="000000"/>
          <w:u w:val="none"/>
        </w:rPr>
        <w:t>Кроме послаблений для малого бизнеса вы можете воспользоваться и другими льготами, которые действуют для организаций и ИП.</w:t>
      </w: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b w:val="0"/>
          <w:color w:val="000000"/>
          <w:u w:val="none"/>
        </w:rPr>
      </w:pPr>
      <w:r>
        <w:rPr>
          <w:b w:val="0"/>
          <w:color w:val="000000"/>
          <w:u w:val="none"/>
        </w:rPr>
        <w:t>Кроме того, помимо названных льгот у субъектов малого бизнеса есть возможность применять специальные налоговые режимы. Ограничения, при которых ими можно пользоваться (например, предельное количество работников или размер доходов), как раз и направлены на то, чтобы малые предприятия были в более льготных условиях, чем крупные компании на ОСН.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2026-03-16T06:24:15Z</dcterms:created>
  <dcterms:modified xsi:type="dcterms:W3CDTF">2026-03-16T06:24:15Z</dcterms:modified>
</cp:coreProperties>
</file>