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Возврат авиабилетов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sz w:val="16"/>
          <w:szCs w:val="16"/>
        </w:rPr>
      </w:r>
    </w:p>
    <w:p>
      <w:pPr>
        <w:pStyle w:val="633"/>
        <w:ind w:firstLine="567"/>
        <w:jc w:val="both"/>
        <w:spacing w:before="0" w:beforeAutospacing="0" w:after="0" w:afterAutospacing="0"/>
      </w:pPr>
      <w:r/>
      <w:bookmarkStart w:id="0" w:name="_Hlk198545370"/>
      <w:r>
        <w:t xml:space="preserve">Наступает лето, </w:t>
      </w:r>
      <w:r>
        <w:t xml:space="preserve">и </w:t>
      </w:r>
      <w:r>
        <w:t xml:space="preserve">для многих россиян это пора отпусков, путешествий</w:t>
      </w:r>
      <w:r>
        <w:t xml:space="preserve"> и </w:t>
      </w:r>
      <w:r>
        <w:t xml:space="preserve">поездок по стране. Вс</w:t>
      </w:r>
      <w:r>
        <w:t xml:space="preserve">ё</w:t>
      </w:r>
      <w:r>
        <w:t xml:space="preserve"> больше людей предпочитают путешествовать самол</w:t>
      </w:r>
      <w:r>
        <w:t xml:space="preserve">ё</w:t>
      </w:r>
      <w:r>
        <w:t xml:space="preserve">том. </w:t>
      </w:r>
      <w:r>
        <w:t xml:space="preserve">При планировании поездки </w:t>
      </w:r>
      <w:r>
        <w:t xml:space="preserve">первым </w:t>
      </w:r>
      <w:r>
        <w:t xml:space="preserve">возникает вопрос о выборе авиабилета, оптимального по цене и условиям, особенно в части возможности его возврата</w:t>
      </w:r>
      <w: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Hlk198627716"/>
      <w:r>
        <w:rPr>
          <w:rFonts w:ascii="Times New Roman" w:hAnsi="Times New Roman" w:cs="Times New Roman"/>
          <w:sz w:val="24"/>
          <w:szCs w:val="24"/>
        </w:rPr>
        <w:t xml:space="preserve">При бронировании/покупки  билетов п</w:t>
      </w:r>
      <w:r>
        <w:rPr>
          <w:rFonts w:ascii="Times New Roman" w:hAnsi="Times New Roman" w:cs="Times New Roman"/>
          <w:sz w:val="24"/>
          <w:szCs w:val="24"/>
        </w:rPr>
        <w:t xml:space="preserve">отребителям приходится выбирать</w:t>
      </w:r>
      <w:r>
        <w:rPr>
          <w:rFonts w:ascii="Times New Roman" w:hAnsi="Times New Roman" w:cs="Times New Roman"/>
          <w:sz w:val="24"/>
          <w:szCs w:val="24"/>
        </w:rPr>
        <w:t xml:space="preserve">: отдать предпочтение более дешевому, но рискованному варианту или выбрать более дорогой, но с возможностью возврата средств в сл</w:t>
      </w:r>
      <w:r>
        <w:rPr>
          <w:rFonts w:ascii="Times New Roman" w:hAnsi="Times New Roman" w:cs="Times New Roman"/>
          <w:sz w:val="24"/>
          <w:szCs w:val="24"/>
        </w:rPr>
        <w:t xml:space="preserve">учае изменения планов. Возвратные билеты обеспечивают финансовую защиту при отмене поездки, в то время как невозвратные билеты, несмотря на свою привлекательную цену, не гарантируют возврата денег, за исключением случаев, предусмотренных законодательством.</w:t>
      </w:r>
      <w:bookmarkEnd w:id="1"/>
      <w:r/>
    </w:p>
    <w:p>
      <w:pPr>
        <w:pStyle w:val="626"/>
        <w:ind w:firstLine="567"/>
        <w:jc w:val="both"/>
        <w:spacing w:before="0" w:beforeAutospacing="0" w:after="0" w:afterAutospacing="0"/>
        <w:shd w:val="clear" w:color="auto" w:fill="ffffff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shd w:val="clear" w:color="auto" w:fill="ffffff"/>
        </w:rPr>
        <w:t xml:space="preserve">Возврат авиабилетов – ситуация, с которой сталкиваются многие пассажиры. Обстоятельства меняются, и запланированная поездка становится невозможной. В таких случаях возникает вопрос: можно ли вернуть деньги за билет и на каких условиях?</w:t>
      </w:r>
      <w:r/>
    </w:p>
    <w:p>
      <w:pPr>
        <w:pStyle w:val="626"/>
        <w:ind w:firstLine="567"/>
        <w:jc w:val="both"/>
        <w:spacing w:before="0" w:beforeAutospacing="0" w:after="0" w:afterAutospacing="0"/>
        <w:shd w:val="clear" w:color="auto" w:fill="ffffff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Чтобы избежать неприятных сюрпризов в дальнейшем,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предлагаем ознакомиться </w:t>
      </w:r>
      <w:r>
        <w:rPr>
          <w:b w:val="0"/>
          <w:bCs w:val="0"/>
          <w:spacing w:val="-1"/>
          <w:sz w:val="24"/>
          <w:szCs w:val="24"/>
        </w:rPr>
        <w:t xml:space="preserve"> с</w:t>
      </w:r>
      <w:r>
        <w:rPr>
          <w:b w:val="0"/>
          <w:bCs w:val="0"/>
          <w:spacing w:val="-1"/>
          <w:sz w:val="24"/>
          <w:szCs w:val="24"/>
        </w:rPr>
        <w:t xml:space="preserve"> информацией о </w:t>
      </w:r>
      <w:r>
        <w:rPr>
          <w:b w:val="0"/>
          <w:bCs w:val="0"/>
          <w:spacing w:val="-1"/>
          <w:sz w:val="24"/>
          <w:szCs w:val="24"/>
        </w:rPr>
        <w:t xml:space="preserve"> порядк</w:t>
      </w:r>
      <w:r>
        <w:rPr>
          <w:b w:val="0"/>
          <w:bCs w:val="0"/>
          <w:spacing w:val="-1"/>
          <w:sz w:val="24"/>
          <w:szCs w:val="24"/>
        </w:rPr>
        <w:t xml:space="preserve">е </w:t>
      </w:r>
      <w:r>
        <w:rPr>
          <w:b w:val="0"/>
          <w:bCs w:val="0"/>
          <w:spacing w:val="-1"/>
          <w:sz w:val="24"/>
          <w:szCs w:val="24"/>
        </w:rPr>
        <w:t xml:space="preserve"> возврата авиабилетов</w:t>
      </w:r>
      <w:r>
        <w:rPr>
          <w:b w:val="0"/>
          <w:bCs w:val="0"/>
          <w:spacing w:val="-1"/>
          <w:sz w:val="24"/>
          <w:szCs w:val="24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регулирующими сферу воздушных перевозок пассажиров, являются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pStyle w:val="637"/>
        <w:numPr>
          <w:ilvl w:val="0"/>
          <w:numId w:val="5"/>
        </w:numPr>
        <w:ind w:left="567" w:hanging="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Граждански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кодекс РФ;</w:t>
      </w:r>
      <w:r/>
    </w:p>
    <w:p>
      <w:pPr>
        <w:pStyle w:val="637"/>
        <w:numPr>
          <w:ilvl w:val="0"/>
          <w:numId w:val="5"/>
        </w:numPr>
        <w:ind w:left="567" w:hanging="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Воздушны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кодекс РФ;</w:t>
      </w:r>
      <w:r/>
    </w:p>
    <w:p>
      <w:pPr>
        <w:pStyle w:val="637"/>
        <w:numPr>
          <w:ilvl w:val="0"/>
          <w:numId w:val="5"/>
        </w:numPr>
        <w:ind w:left="567" w:hanging="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авиационны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утверждённые приказом Минтранса России от 28 июня 2007 г. № 82;</w:t>
      </w:r>
      <w:r/>
    </w:p>
    <w:p>
      <w:pPr>
        <w:pStyle w:val="637"/>
        <w:numPr>
          <w:ilvl w:val="0"/>
          <w:numId w:val="5"/>
        </w:numPr>
        <w:ind w:left="567" w:hanging="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 РФ от 07 февраля 1992г. №2300-1 «О защите прав потребителей».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Воздушный кодекс РФ предоставляет пассажиру свободу выбора при покупке авиабилета. Он может приобрести билет по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возвратному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тарифу, позволяющему вернуть деньги при отказе от полета, или по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невозвратному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тарифу, который такой возможности не предусматривает.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возврата авиабилета (возвратный или невозвратный тариф) указываются в условиях бронирования, размещенных на сайте авиакомпании или агентства. Как правило, эта информация находится в разделах "Условия тарифа" или "Правила бронирования". При этом,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 заключения договора воздушной перевозки</w:t>
      </w:r>
      <w:r>
        <w:rPr>
          <w:rFonts w:ascii="Times New Roman" w:hAnsi="Times New Roman" w:cs="Times New Roman"/>
          <w:sz w:val="24"/>
          <w:szCs w:val="24"/>
        </w:rPr>
        <w:t xml:space="preserve">, авиакомпания или уполномоченный ею представитель обязаны предоставить пассажиру полную и достоверную информацию об условиях возврата стоимости билета, чтобы обеспечить возможность осознанного выбора услуги.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Условия возврата авиабилетов: возвратный тариф и его особенности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добровольного отказа пассажира от запланированного перелета и возврата авиабилета пассажиру возвращается:</w:t>
      </w:r>
      <w:r/>
    </w:p>
    <w:p>
      <w:pPr>
        <w:numPr>
          <w:ilvl w:val="0"/>
          <w:numId w:val="7"/>
        </w:numPr>
        <w:ind w:left="567" w:hanging="141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стоимость авиабилета (за исключением суммы расходов перевозчика, фактически понесенных им и связанных с исполнением обязательств по договору) - если договором воздушной перевозки предусмотрено условие о возврате стоимости авиабилета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пассажир уведомил перевозчика об отказе от перелета не позднее чем за 24 часа до окончания времени регистрации пассажиров на рейс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numPr>
          <w:ilvl w:val="0"/>
          <w:numId w:val="8"/>
        </w:numPr>
        <w:ind w:left="567" w:hanging="141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оимость авиабилета с взысканием неустойки в размере 25% и суммы расходов перевозчика, фактически понесенных им и связанных с исполнением обязательств по договору, - если договором воздушной перевозки предусмотрено условие о возврате стоимости авиабилета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пассажир уведомил перевозчика об отказе от перелета менее чем за 24 часа до окончания времени регистрации пассажиров на рейс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Перевозчик вправе уменьшить размер указанной неустойки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Обращаем внимание,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пассажир уведомил перевозчика об отказе от перелета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после окончания времени регистрации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пассажиров на рейс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к сведению сообщаем, что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регистрация пассажиров и оформление багажа на рейсы в аэропорту заканчивается </w:t>
      </w:r>
      <w:r>
        <w:rPr>
          <w:rStyle w:val="635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не </w:t>
      </w:r>
      <w:r>
        <w:rPr>
          <w:rStyle w:val="635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ранее чем за 40 минут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 до времени отправления воздушного судна по расписанию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стоимость авиабилета пассажиру не возвращается. </w:t>
      </w:r>
      <w:r/>
    </w:p>
    <w:p>
      <w:pPr>
        <w:pStyle w:val="633"/>
        <w:ind w:firstLine="567"/>
        <w:jc w:val="center"/>
        <w:spacing w:before="0" w:beforeAutospacing="0" w:after="0" w:afterAutospacing="0"/>
        <w:shd w:val="clear" w:color="auto" w:fill="ffffff"/>
      </w:pPr>
      <w:r>
        <w:rPr>
          <w:b/>
          <w:bCs/>
        </w:rPr>
        <w:t xml:space="preserve">В каких случаях можно вернуть деньги за невозвратный авиабилет</w:t>
      </w:r>
      <w:r>
        <w:rPr>
          <w:b/>
          <w:bCs/>
        </w:rPr>
        <w:t xml:space="preserve">?</w:t>
      </w:r>
      <w:r/>
    </w:p>
    <w:p>
      <w:pPr>
        <w:pStyle w:val="633"/>
        <w:ind w:firstLine="567"/>
        <w:jc w:val="both"/>
        <w:spacing w:before="0" w:beforeAutospacing="0" w:after="0" w:afterAutospacing="0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Авиабилет, приобретенный потребителем по невозвратному тарифу, может быть компенсирован в случае вынужденного отказа, вызванного </w:t>
      </w:r>
      <w:r>
        <w:rPr>
          <w:b/>
          <w:bCs/>
          <w:shd w:val="clear" w:color="auto" w:fill="ffffff"/>
        </w:rPr>
        <w:t xml:space="preserve">уважительны</w:t>
      </w:r>
      <w:r>
        <w:rPr>
          <w:b/>
          <w:bCs/>
          <w:shd w:val="clear" w:color="auto" w:fill="ffffff"/>
        </w:rPr>
        <w:t xml:space="preserve">ми</w:t>
      </w:r>
      <w:r>
        <w:rPr>
          <w:b/>
          <w:bCs/>
          <w:shd w:val="clear" w:color="auto" w:fill="ffffff"/>
        </w:rPr>
        <w:t xml:space="preserve"> причинами</w:t>
      </w:r>
      <w:r>
        <w:rPr>
          <w:shd w:val="clear" w:color="auto" w:fill="ffffff"/>
        </w:rPr>
        <w:t xml:space="preserve">, такими как: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болезнь пассажира;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болезнь члена его семьи либо близкого родственника, совместно следующих с ним на воздушном судне, что подтверждается медицинскими документами;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смерть члена его семьи или близкого родственника, что подтверждается документально,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</w:t>
      </w:r>
      <w:r/>
    </w:p>
    <w:p>
      <w:pPr>
        <w:pStyle w:val="633"/>
        <w:jc w:val="both"/>
        <w:spacing w:before="0" w:beforeAutospacing="0" w:after="0" w:afterAutospacing="0" w:line="288" w:lineRule="atLeast"/>
      </w:pPr>
      <w:r>
        <w:t xml:space="preserve">Справочно</w:t>
      </w:r>
      <w:r>
        <w:t xml:space="preserve">, </w:t>
      </w:r>
      <w:bookmarkStart w:id="2" w:name="p0"/>
      <w:r/>
      <w:bookmarkEnd w:id="2"/>
      <w:r>
        <w:t xml:space="preserve">под членами семьи понимаются супруги, родители и дети (усыновители и усыновленные), под близкими родственниками - дедушки, бабушки и внуки, полнородные и неполнородные братья и сестры;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отмены или задержки рейса, указанного в билете;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перевозчиком маршрута перевозки; 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выполнения рейса не по расписанию; 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несостоявшейся отправки пассажира из-за невозможности предоставить ему место на рейс и дату, указанные в билете; 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несостояв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шейся перевозки пассажира на воздушном судне, вызванной задержкой пассажира в аэропорту из-за продолжительности проведения его досмотра, если при досмотре багажа или личном досмотре пассажира не было обнаружено запрещенных к перевозке веществ и предметов; 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необеспечения перевозчиком стыковки рейсов в случае выполнения единой перевозки. 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непредоставления пассажиру обслуживания по классу, указанному в билете;</w:t>
      </w:r>
      <w:r/>
    </w:p>
    <w:p>
      <w:pPr>
        <w:pStyle w:val="637"/>
        <w:numPr>
          <w:ilvl w:val="0"/>
          <w:numId w:val="13"/>
        </w:numPr>
        <w:ind w:left="567" w:hanging="207"/>
        <w:jc w:val="both"/>
        <w:spacing w:after="0" w:line="288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неправильного оформления билета перевозчиком или уполномоченным агентом. </w:t>
      </w:r>
      <w:r/>
    </w:p>
    <w:p>
      <w:pPr>
        <w:ind w:firstLine="567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пассажир был вынужден отказаться от рейса, перевозчик должен сделать запись в документе о перевозке или предоставить документ, подтверждающий данную ситуацию.</w:t>
      </w:r>
      <w:r/>
    </w:p>
    <w:p>
      <w:pPr>
        <w:pStyle w:val="633"/>
        <w:ind w:firstLine="540"/>
        <w:jc w:val="both"/>
        <w:spacing w:before="0" w:beforeAutospacing="0" w:after="0" w:afterAutospacing="0" w:line="288" w:lineRule="atLeast"/>
      </w:pPr>
      <w:r>
        <w:t xml:space="preserve">Обращаем внимание, что </w:t>
      </w:r>
      <w:r>
        <w:t xml:space="preserve">решение о возврате денег за авиабилет, даже если он "невозвратный", всегда принимает авиакомпания. Потребителю необходимо направить претензию в авиакомпанию </w:t>
      </w:r>
      <w:r>
        <w:t xml:space="preserve">или агентство, где он покупал билет, и приложить документы, подтверждающие причину возврата. Если причина - болезнь, то требования к медицинским документам устанавливает авиакомпания. В случае смерти близкого родственника потребуется свидетельство о смерти</w:t>
      </w:r>
      <w:r>
        <w:t xml:space="preserve">. В иных случаях</w:t>
      </w:r>
      <w:r>
        <w:t xml:space="preserve"> документы, </w:t>
      </w:r>
      <w:r>
        <w:t xml:space="preserve">обосновывающие </w:t>
      </w:r>
      <w:r>
        <w:t xml:space="preserve">вашу ситуацию.</w:t>
      </w:r>
      <w:r/>
    </w:p>
    <w:p>
      <w:pPr>
        <w:pStyle w:val="633"/>
        <w:ind w:firstLine="567"/>
        <w:jc w:val="both"/>
        <w:spacing w:before="0" w:beforeAutospacing="0" w:after="0" w:afterAutospacing="0"/>
      </w:pPr>
      <w:r>
        <w:t xml:space="preserve">Перевозчик обязан в течение тридцати дней со дня поступления претензии рассмотреть ее и в письменной форме уведомить потребителя об удовлетворении или отклонении претензии.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Претензия к перевозчику при внутренних воздушных перевозках может быть предъявлена в течение шести месяцев.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авиакомпания откажет в возврате денежных средств добровольно, то дальнейшее разрешение вопроса возможно в судебном порядке.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Важно!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Иски к перевозчикам, вытекающие из договоров перевозки, предъявляются в суд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 месту нахождения перевозчика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 которому в установленном порядке была предъявлена претензия. В этой связи, несоблюдение обязательного досудебного порядка (претензионного) урегулирования спора  является основанием для возвращения  искового заявления.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памятка  информирует о правах пассажиров при оказании услуг авиаперевозчиками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внутренних воздушных перевозках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</w:t>
      </w:r>
      <w:bookmarkEnd w:id="0"/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Информация подготовлена специалистами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отделения по защите прав потребителей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консультационного центра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с использованием материалов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СПС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КонсультантПлюс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НАШИ КОНТАКТЫ: г. Иркутск,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ул.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Трилиссера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51,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каб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. 113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тел.: 8 (395-2) 22-23-88,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ул. Пушкина 8,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каб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. 101, 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тел.: 8</w:t>
      </w:r>
      <w:bookmarkStart w:id="3" w:name="_GoBack"/>
      <w:r/>
      <w:bookmarkEnd w:id="3"/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(395-2) 63-66-22,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Е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-мail:zpp@sesoirkutsk.ru</w:t>
      </w:r>
      <w:r/>
    </w:p>
    <w:p>
      <w:pPr>
        <w:ind w:firstLine="539"/>
        <w:jc w:val="right"/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142" w:right="851" w:bottom="11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1"/>
    <w:basedOn w:val="625"/>
    <w:link w:val="63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7">
    <w:name w:val="Heading 2"/>
    <w:basedOn w:val="625"/>
    <w:next w:val="625"/>
    <w:link w:val="634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8">
    <w:name w:val="Heading 3"/>
    <w:basedOn w:val="625"/>
    <w:next w:val="625"/>
    <w:link w:val="640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33">
    <w:name w:val="Normal (Web)"/>
    <w:basedOn w:val="62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4" w:customStyle="1">
    <w:name w:val="Заголовок 2 Знак"/>
    <w:basedOn w:val="629"/>
    <w:link w:val="627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35">
    <w:name w:val="Strong"/>
    <w:basedOn w:val="629"/>
    <w:uiPriority w:val="22"/>
    <w:qFormat/>
    <w:rPr>
      <w:b/>
      <w:bCs/>
    </w:rPr>
  </w:style>
  <w:style w:type="character" w:styleId="636">
    <w:name w:val="Hyperlink"/>
    <w:basedOn w:val="629"/>
    <w:uiPriority w:val="99"/>
    <w:semiHidden/>
    <w:unhideWhenUsed/>
    <w:rPr>
      <w:color w:val="0000ff"/>
      <w:u w:val="single"/>
    </w:rPr>
  </w:style>
  <w:style w:type="paragraph" w:styleId="637">
    <w:name w:val="List Paragraph"/>
    <w:basedOn w:val="625"/>
    <w:uiPriority w:val="34"/>
    <w:qFormat/>
    <w:pPr>
      <w:contextualSpacing/>
      <w:ind w:left="720"/>
    </w:pPr>
  </w:style>
  <w:style w:type="paragraph" w:styleId="638" w:customStyle="1">
    <w:name w:val="futurismarkdown-paragraph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9" w:customStyle="1">
    <w:name w:val="futurismarkdown-listitem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0" w:customStyle="1">
    <w:name w:val="Заголовок 3 Знак"/>
    <w:basedOn w:val="629"/>
    <w:link w:val="628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41" w:customStyle="1">
    <w:name w:val="greenbg"/>
    <w:basedOn w:val="62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dcterms:created xsi:type="dcterms:W3CDTF">2025-05-20T02:25:00Z</dcterms:created>
  <dcterms:modified xsi:type="dcterms:W3CDTF">2025-06-18T02:02:18Z</dcterms:modified>
</cp:coreProperties>
</file>