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/>
        <w:trPr>
          <w:trHeight w:val="2552"/>
        </w:trPr>
        <w:tc>
          <w:tcPr>
            <w:tcBorders>
              <w:bottom w:val="single" w:color="000000" w:sz="24" w:space="0"/>
            </w:tcBorders>
            <w:tcW w:w="9463" w:type="dxa"/>
            <w:vAlign w:val="top"/>
            <w:textDirection w:val="lrTb"/>
            <w:noWrap w:val="false"/>
          </w:tcPr>
          <w:p>
            <w:pPr>
              <w:pStyle w:val="648"/>
              <w:jc w:val="center"/>
              <w:keepNext/>
              <w:rPr>
                <w:b/>
                <w:sz w:val="32"/>
              </w:rPr>
              <w:outlineLvl w:val="0"/>
            </w:pPr>
            <w:r>
              <w:rPr>
                <w:rFonts w:cs="Arial Unicode MS"/>
                <w:b/>
                <w:sz w:val="28"/>
              </w:rPr>
              <w:t xml:space="preserve">Р о с с и й с к а я  Ф е д е р а ц и я</w: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648"/>
              <w:jc w:val="center"/>
              <w:keepNext/>
              <w:rPr>
                <w:b/>
                <w:sz w:val="32"/>
              </w:rPr>
              <w:outlineLvl w:val="4"/>
            </w:pPr>
            <w:r>
              <w:rPr>
                <w:b/>
                <w:sz w:val="32"/>
              </w:rPr>
              <w:t xml:space="preserve">Иркутская область</w:t>
            </w:r>
            <w:r>
              <w:rPr>
                <w:b/>
                <w:sz w:val="32"/>
              </w:rPr>
            </w:r>
          </w:p>
          <w:p>
            <w:pPr>
              <w:pStyle w:val="64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4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4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648"/>
              <w:jc w:val="center"/>
              <w:keepNext/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/>
          </w:p>
        </w:tc>
      </w:tr>
    </w:tbl>
    <w:p>
      <w:pPr>
        <w:pStyle w:val="648"/>
        <w:ind w:right="-568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pStyle w:val="648"/>
        <w:jc w:val="both"/>
        <w:spacing w:line="276" w:lineRule="auto"/>
      </w:pPr>
      <w:r>
        <w:t xml:space="preserve">от «_____ » ию</w:t>
      </w:r>
      <w:r>
        <w:t xml:space="preserve">л</w:t>
      </w:r>
      <w:r>
        <w:t xml:space="preserve">я 2026 года                                                      </w:t>
        <w:tab/>
        <w:tab/>
        <w:t xml:space="preserve">№ </w:t>
      </w:r>
      <w:r/>
    </w:p>
    <w:p>
      <w:pPr>
        <w:pStyle w:val="648"/>
        <w:jc w:val="both"/>
      </w:pPr>
      <w:r/>
      <w:r/>
    </w:p>
    <w:p>
      <w:pPr>
        <w:pStyle w:val="648"/>
        <w:jc w:val="both"/>
        <w:rPr>
          <w:color w:val="000000"/>
        </w:rPr>
      </w:pPr>
      <w:r>
        <w:t xml:space="preserve">О внесении изменений в</w:t>
      </w:r>
      <w:r>
        <w:t xml:space="preserve"> Положение о муниципальном казённом учреждении «Управление капитального строительства и архитектуры администрации Тайшетского муниципального округа», утвержденное решением Думы Тайшетского муниципального округа Иркутской области от 13 ноября 2025 года № 35</w:t>
      </w:r>
      <w:r>
        <w:rPr>
          <w:color w:val="000000"/>
        </w:rPr>
        <w:tab/>
      </w:r>
      <w:r>
        <w:rPr>
          <w:color w:val="000000"/>
        </w:rPr>
      </w:r>
    </w:p>
    <w:p>
      <w:pPr>
        <w:pStyle w:val="648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48"/>
        <w:contextualSpacing/>
        <w:ind w:firstLine="709"/>
        <w:jc w:val="both"/>
        <w:widowControl w:val="off"/>
      </w:pPr>
      <w:r>
        <w:t xml:space="preserve">Руководствуясь статьей 16 Федерального закона от 6 октября 2003 года № 131-ФЗ «Об общих пр</w:t>
      </w:r>
      <w:r>
        <w:t xml:space="preserve">инципах организации местного самоуправления в Российской Федерации», статьями 13, 14, 22 Федерального закона от 20 марта 2025 года № 33-ФЗ «Об общих принципах организации местного самоуправления в единой системе публичной власти», статьей 12 Федерального з</w:t>
      </w:r>
      <w:r>
        <w:t xml:space="preserve">акона от 8 августа 2001 года № 129-ФЗ «О государственной регистрации юридических лиц и индивидуальных предпринимателей», статьями 6, 21, 36 Устава Тайшетского муниципального округа Иркутской области, Дума Тайшетского муниципального округа Иркутской области</w:t>
      </w:r>
      <w:r/>
    </w:p>
    <w:p>
      <w:pPr>
        <w:pStyle w:val="648"/>
        <w:contextualSpacing/>
        <w:jc w:val="both"/>
        <w:widowControl w:val="off"/>
      </w:pPr>
      <w:r/>
      <w:r/>
    </w:p>
    <w:p>
      <w:pPr>
        <w:pStyle w:val="648"/>
        <w:contextualSpacing/>
        <w:widowControl w:val="off"/>
        <w:rPr>
          <w:b/>
        </w:rPr>
      </w:pPr>
      <w:r>
        <w:rPr>
          <w:b/>
        </w:rPr>
        <w:t xml:space="preserve">РЕШИЛА:</w:t>
      </w:r>
      <w:r>
        <w:rPr>
          <w:b/>
        </w:rPr>
      </w:r>
    </w:p>
    <w:p>
      <w:pPr>
        <w:pStyle w:val="648"/>
        <w:contextualSpacing/>
        <w:ind w:firstLine="567"/>
        <w:jc w:val="center"/>
        <w:widowControl w:val="off"/>
        <w:tabs>
          <w:tab w:val="left" w:pos="993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648"/>
        <w:numPr>
          <w:ilvl w:val="0"/>
          <w:numId w:val="2"/>
        </w:numPr>
        <w:contextualSpacing/>
        <w:ind w:left="0" w:firstLine="567"/>
        <w:jc w:val="both"/>
        <w:widowControl w:val="off"/>
        <w:tabs>
          <w:tab w:val="clear" w:pos="0" w:leader="none"/>
          <w:tab w:val="num" w:pos="993" w:leader="none"/>
        </w:tabs>
        <w:rPr>
          <w:color w:val="000000"/>
        </w:rPr>
      </w:pPr>
      <w:r>
        <w:rPr>
          <w:color w:val="000000"/>
        </w:rPr>
        <w:t xml:space="preserve">Внести в Положение о муниципальном казённом учреждении «Управление капитального строительства и архитектуры администрации Тайшетского муниципального округа», утвержде</w:t>
      </w:r>
      <w:r>
        <w:rPr>
          <w:color w:val="000000"/>
        </w:rPr>
        <w:t xml:space="preserve">нное решением Думы Тайшетского муниципального округа Иркутской области от 13 ноября 2025 года № 35 (в редакции решений Думы Тайшетского муниципального округа Иркутской области от 27 ноября 2025 года № 75, от 27 января 2026 года № 187), следующие изменения:</w:t>
      </w:r>
      <w:r>
        <w:rPr>
          <w:color w:val="000000"/>
        </w:rPr>
      </w:r>
    </w:p>
    <w:p>
      <w:pPr>
        <w:pStyle w:val="648"/>
        <w:numPr>
          <w:ilvl w:val="0"/>
          <w:numId w:val="3"/>
        </w:numPr>
        <w:contextualSpacing/>
        <w:ind w:left="0" w:firstLine="567"/>
        <w:jc w:val="both"/>
        <w:widowControl w:val="off"/>
        <w:tabs>
          <w:tab w:val="clear" w:pos="0" w:leader="none"/>
          <w:tab w:val="num" w:pos="993" w:leader="none"/>
        </w:tabs>
        <w:rPr>
          <w:color w:val="000000"/>
        </w:rPr>
      </w:pPr>
      <w:r>
        <w:rPr>
          <w:color w:val="000000"/>
        </w:rPr>
        <w:t xml:space="preserve">в пункте 3.1.1.:</w:t>
      </w:r>
      <w:r>
        <w:rPr>
          <w:color w:val="000000"/>
        </w:rPr>
      </w:r>
    </w:p>
    <w:p>
      <w:pPr>
        <w:pStyle w:val="648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абзацы четвертый, пятый изложить в следующей редакции:</w:t>
      </w:r>
      <w:r>
        <w:rPr>
          <w:color w:val="000000"/>
        </w:rPr>
      </w:r>
    </w:p>
    <w:p>
      <w:pPr>
        <w:pStyle w:val="648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«присвоение адресов объектам адресации, изменение, аннулирование адресов, присвоение наименований элементам улично-дорожной сети (за исключение</w:t>
      </w:r>
      <w:r>
        <w:rPr>
          <w:color w:val="000000"/>
        </w:rPr>
        <w:t xml:space="preserve">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муниципального образования, изменение, аннулирование таких наименований с выдачей расп</w:t>
      </w:r>
      <w:r>
        <w:rPr>
          <w:color w:val="000000"/>
        </w:rPr>
        <w:t xml:space="preserve">оряжения Управления;</w:t>
      </w:r>
      <w:r>
        <w:rPr>
          <w:color w:val="000000"/>
        </w:rPr>
      </w:r>
    </w:p>
    <w:p>
      <w:pPr>
        <w:pStyle w:val="648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размещение информации в государственном адресном реестре;»;</w:t>
      </w:r>
      <w:r>
        <w:rPr>
          <w:color w:val="000000"/>
        </w:rPr>
      </w:r>
    </w:p>
    <w:p>
      <w:pPr>
        <w:pStyle w:val="648"/>
        <w:numPr>
          <w:ilvl w:val="0"/>
          <w:numId w:val="3"/>
        </w:numPr>
        <w:contextualSpacing/>
        <w:ind w:left="0" w:firstLine="567"/>
        <w:jc w:val="both"/>
        <w:widowControl w:val="off"/>
        <w:tabs>
          <w:tab w:val="clear" w:pos="0" w:leader="none"/>
          <w:tab w:val="num" w:pos="993" w:leader="none"/>
        </w:tabs>
        <w:rPr>
          <w:color w:val="000000"/>
        </w:rPr>
      </w:pPr>
      <w:r>
        <w:rPr>
          <w:color w:val="000000"/>
        </w:rPr>
        <w:t xml:space="preserve">в пункте 3.1.2.:</w:t>
      </w:r>
      <w:r>
        <w:rPr>
          <w:color w:val="000000"/>
        </w:rPr>
      </w:r>
    </w:p>
    <w:p>
      <w:pPr>
        <w:pStyle w:val="648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доп</w:t>
      </w:r>
      <w:r>
        <w:rPr>
          <w:color w:val="000000"/>
        </w:rPr>
        <w:t xml:space="preserve">олнить абзацами двадцать вторым -</w:t>
      </w:r>
      <w:r>
        <w:rPr>
          <w:color w:val="000000"/>
        </w:rPr>
        <w:t xml:space="preserve"> двадцать </w:t>
      </w:r>
      <w:r>
        <w:rPr>
          <w:color w:val="000000"/>
        </w:rPr>
        <w:t xml:space="preserve">четвертым</w:t>
      </w:r>
      <w:r>
        <w:rPr>
          <w:color w:val="000000"/>
        </w:rPr>
        <w:t xml:space="preserve"> следующего содержания:</w:t>
      </w:r>
      <w:r>
        <w:rPr>
          <w:color w:val="000000"/>
        </w:rPr>
      </w:r>
    </w:p>
    <w:p>
      <w:pPr>
        <w:pStyle w:val="648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«выявле</w:t>
      </w:r>
      <w:r>
        <w:rPr>
          <w:color w:val="000000"/>
        </w:rPr>
        <w:t xml:space="preserve">ние самовольного строительства </w:t>
      </w:r>
      <w:r>
        <w:rPr>
          <w:color w:val="000000"/>
        </w:rPr>
        <w:t xml:space="preserve">в границах населенных пунктов: города Тайшет, села Старый Акульшет, деревни Парижская Коммуна, поселка ж/д станции Акульшет, а также в границах Тайшетского муниципального округа, вне границ указанных населенных пунктов</w:t>
      </w:r>
      <w:r>
        <w:rPr>
          <w:color w:val="000000"/>
        </w:rPr>
        <w:t xml:space="preserve">;</w:t>
      </w:r>
      <w:r>
        <w:rPr>
          <w:color w:val="000000"/>
        </w:rPr>
      </w:r>
    </w:p>
    <w:p>
      <w:pPr>
        <w:pStyle w:val="648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принятие мер по сносу самовольных построек</w:t>
      </w:r>
      <w:r>
        <w:rPr>
          <w:color w:val="000000"/>
        </w:rPr>
        <w:t xml:space="preserve">;</w:t>
      </w:r>
      <w:r>
        <w:rPr>
          <w:color w:val="000000"/>
        </w:rPr>
      </w:r>
    </w:p>
    <w:p>
      <w:pPr>
        <w:pStyle w:val="648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освобождение земельных участков от незаконно размещенных на них объектов, не являющихся объектами капитального строительства, в том числе осуществление демонтажа </w:t>
      </w:r>
      <w:r>
        <w:rPr>
          <w:color w:val="000000"/>
        </w:rPr>
        <w:t xml:space="preserve">и (или) перемещения таких объектов в границах населенных пунктов: города Тайшет, села Старый Акульшет, деревни Парижская Коммуна, поселка ж/д станции Акульшет, а также в границах Тайшетского муниципального округа, вне границ указанных населенных пунктов;»;</w:t>
      </w:r>
      <w:r>
        <w:rPr>
          <w:color w:val="000000"/>
        </w:rPr>
      </w:r>
    </w:p>
    <w:p>
      <w:pPr>
        <w:pStyle w:val="648"/>
        <w:contextualSpacing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абзац двадцать второй считать абзацем двадцать </w:t>
      </w:r>
      <w:r>
        <w:rPr>
          <w:color w:val="000000"/>
        </w:rPr>
        <w:t xml:space="preserve">пятым</w:t>
      </w:r>
      <w:r>
        <w:rPr>
          <w:color w:val="000000"/>
        </w:rPr>
        <w:t xml:space="preserve"> соответственно.</w:t>
      </w:r>
      <w:r>
        <w:rPr>
          <w:color w:val="000000"/>
        </w:rPr>
      </w:r>
    </w:p>
    <w:p>
      <w:pPr>
        <w:pStyle w:val="648"/>
        <w:ind w:firstLine="567"/>
        <w:jc w:val="both"/>
        <w:spacing w:line="256" w:lineRule="auto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2. Начальнику Управления капитального строительства и архитектуры администрации Тайшетского муниципального округа Никитину В.С. обеспечить государственную регистрацию внесенных изменений.</w:t>
      </w:r>
      <w:r>
        <w:rPr>
          <w:color w:val="000000"/>
        </w:rPr>
      </w:r>
    </w:p>
    <w:p>
      <w:pPr>
        <w:pStyle w:val="696"/>
        <w:numPr>
          <w:ilvl w:val="0"/>
          <w:numId w:val="1"/>
        </w:numPr>
        <w:ind w:left="0" w:firstLine="567"/>
        <w:jc w:val="both"/>
        <w:spacing w:after="0" w:line="240" w:lineRule="auto"/>
        <w:tabs>
          <w:tab w:val="clear" w:pos="0" w:leader="none"/>
          <w:tab w:val="left" w:pos="851" w:leader="none"/>
          <w:tab w:val="num" w:pos="993" w:leader="none"/>
          <w:tab w:val="left" w:pos="1134" w:leader="none"/>
        </w:tabs>
        <w:rPr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решение вступает в силу со дня его принятия.</w:t>
      </w:r>
      <w:r>
        <w:rPr>
          <w:sz w:val="24"/>
        </w:rPr>
      </w:r>
      <w:r>
        <w:rPr>
          <w:sz w:val="24"/>
        </w:rPr>
      </w:r>
    </w:p>
    <w:p>
      <w:pPr>
        <w:pStyle w:val="696"/>
        <w:numPr>
          <w:ilvl w:val="0"/>
          <w:numId w:val="1"/>
        </w:numPr>
        <w:ind w:left="0" w:firstLine="567"/>
        <w:jc w:val="both"/>
        <w:spacing w:after="0" w:line="240" w:lineRule="auto"/>
        <w:tabs>
          <w:tab w:val="clear" w:pos="0" w:leader="none"/>
          <w:tab w:val="left" w:pos="851" w:leader="none"/>
          <w:tab w:val="num" w:pos="993" w:leader="none"/>
          <w:tab w:val="left" w:pos="1134" w:leader="none"/>
        </w:tabs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Опубликовать настоящее решение в Бюллетене нормативных правовых ак</w:t>
      </w:r>
      <w:r>
        <w:rPr>
          <w:rFonts w:ascii="Times New Roman" w:hAnsi="Times New Roman" w:eastAsia="Times New Roman" w:cs="Times New Roman"/>
          <w:sz w:val="24"/>
        </w:rPr>
        <w:t xml:space="preserve">тов Тайшетского муниципального округа «Официальная среда», разместить на официальном сайте Администрации Тайшетского муниципального округа и в сетевом издании «Портал правовой информации Администрации Тайшетского муниципального округа» (https://npa-tr.ru).</w:t>
      </w:r>
      <w:r>
        <w:rPr>
          <w:rFonts w:ascii="Times New Roman" w:hAnsi="Times New Roman" w:eastAsia="Times New Roman" w:cs="Times New Roman"/>
          <w:color w:val="000000"/>
          <w:sz w:val="28"/>
          <w:szCs w:val="24"/>
        </w:rPr>
      </w:r>
      <w:r>
        <w:rPr>
          <w:rFonts w:ascii="Times New Roman" w:hAnsi="Times New Roman" w:cs="Times New Roman"/>
          <w:color w:val="000000"/>
          <w:sz w:val="28"/>
          <w:szCs w:val="24"/>
        </w:rPr>
      </w:r>
    </w:p>
    <w:p>
      <w:pPr>
        <w:pStyle w:val="648"/>
        <w:jc w:val="both"/>
        <w:rPr>
          <w:color w:val="000000"/>
          <w:sz w:val="28"/>
        </w:rPr>
      </w:pP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>
        <w:t xml:space="preserve">Председатель Думы</w:t>
      </w:r>
      <w:r/>
    </w:p>
    <w:p>
      <w:pPr>
        <w:pStyle w:val="648"/>
      </w:pPr>
      <w:r>
        <w:t xml:space="preserve">Тайшетского муниципального округа                                                                   И.В. Ронжина</w:t>
      </w:r>
      <w:r/>
    </w:p>
    <w:p>
      <w:pPr>
        <w:pStyle w:val="648"/>
        <w:jc w:val="both"/>
        <w:tabs>
          <w:tab w:val="left" w:pos="8789" w:leader="none"/>
        </w:tabs>
      </w:pPr>
      <w:r/>
      <w:r/>
    </w:p>
    <w:p>
      <w:pPr>
        <w:pStyle w:val="648"/>
        <w:jc w:val="both"/>
        <w:tabs>
          <w:tab w:val="left" w:pos="8789" w:leader="none"/>
        </w:tabs>
      </w:pPr>
      <w:r/>
      <w:r/>
    </w:p>
    <w:p>
      <w:pPr>
        <w:pStyle w:val="648"/>
        <w:jc w:val="both"/>
        <w:tabs>
          <w:tab w:val="left" w:pos="8789" w:leader="none"/>
        </w:tabs>
      </w:pPr>
      <w:r/>
      <w:r/>
    </w:p>
    <w:p>
      <w:pPr>
        <w:pStyle w:val="648"/>
        <w:jc w:val="both"/>
      </w:pPr>
      <w:r>
        <w:t xml:space="preserve">Мэр Тайшетского муниципального округа                                                                А.С. Кузин</w:t>
      </w:r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</w:pPr>
      <w:r/>
      <w:r/>
    </w:p>
    <w:p>
      <w:pPr>
        <w:pStyle w:val="648"/>
        <w:jc w:val="both"/>
        <w:tabs>
          <w:tab w:val="left" w:pos="7797" w:leader="none"/>
        </w:tabs>
      </w:pPr>
      <w:r/>
      <w:r/>
    </w:p>
    <w:p>
      <w:pPr>
        <w:pStyle w:val="648"/>
        <w:jc w:val="both"/>
        <w:tabs>
          <w:tab w:val="left" w:pos="7797" w:leader="none"/>
        </w:tabs>
      </w:pPr>
      <w:r/>
      <w:r/>
    </w:p>
    <w:p>
      <w:pPr>
        <w:pStyle w:val="648"/>
        <w:jc w:val="both"/>
        <w:tabs>
          <w:tab w:val="left" w:pos="7797" w:leader="none"/>
        </w:tabs>
      </w:pPr>
      <w:r/>
      <w:r/>
    </w:p>
    <w:p>
      <w:pPr>
        <w:pStyle w:val="648"/>
        <w:jc w:val="both"/>
        <w:tabs>
          <w:tab w:val="left" w:pos="7797" w:leader="none"/>
        </w:tabs>
      </w:pPr>
      <w:r/>
      <w:r/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1134" w:right="851" w:bottom="1134" w:left="1701" w:header="720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Droid Sans">
    <w:panose1 w:val="020B0706030804020204"/>
  </w:font>
  <w:font w:name="Calibri">
    <w:panose1 w:val="020F0502020204030204"/>
  </w:font>
  <w:font w:name="Courier New">
    <w:panose1 w:val="02070409020205020404"/>
  </w:font>
  <w:font w:name="Noto Sans Devanagari">
    <w:panose1 w:val="020B05020405040202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7"/>
      <w:jc w:val="right"/>
    </w:pPr>
    <w:r/>
    <w:r/>
  </w:p>
  <w:p>
    <w:pPr>
      <w:pStyle w:val="687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287" w:hanging="360"/>
        <w:tabs>
          <w:tab w:val="num" w:pos="0" w:leader="none"/>
        </w:tabs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8"/>
    <w:next w:val="64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8"/>
    <w:next w:val="64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8"/>
    <w:next w:val="64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8"/>
    <w:next w:val="64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8"/>
    <w:next w:val="64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8"/>
    <w:next w:val="64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8"/>
    <w:next w:val="64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8"/>
    <w:next w:val="64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8"/>
    <w:next w:val="64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8"/>
    <w:next w:val="64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8"/>
    <w:next w:val="64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8"/>
    <w:next w:val="64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8"/>
    <w:next w:val="64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8"/>
    <w:next w:val="64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8"/>
    <w:next w:val="64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8"/>
    <w:next w:val="64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8"/>
    <w:next w:val="64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8"/>
    <w:next w:val="64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8"/>
    <w:next w:val="64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8"/>
    <w:next w:val="64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8"/>
    <w:next w:val="64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8"/>
    <w:next w:val="64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8"/>
    <w:next w:val="64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8"/>
    <w:next w:val="648"/>
    <w:uiPriority w:val="99"/>
    <w:unhideWhenUsed/>
    <w:pPr>
      <w:spacing w:after="0" w:afterAutospacing="0"/>
    </w:pPr>
  </w:style>
  <w:style w:type="paragraph" w:styleId="648" w:default="1">
    <w:name w:val="Normal"/>
    <w:next w:val="648"/>
    <w:link w:val="648"/>
    <w:qFormat/>
    <w:rPr>
      <w:sz w:val="24"/>
      <w:szCs w:val="24"/>
      <w:lang w:val="ru-RU" w:eastAsia="zh-CN" w:bidi="ar-SA"/>
    </w:rPr>
  </w:style>
  <w:style w:type="character" w:styleId="649">
    <w:name w:val="Основной шрифт абзаца"/>
    <w:next w:val="649"/>
    <w:link w:val="648"/>
    <w:uiPriority w:val="1"/>
    <w:semiHidden/>
    <w:unhideWhenUsed/>
  </w:style>
  <w:style w:type="table" w:styleId="650">
    <w:name w:val="Обычная таблица"/>
    <w:next w:val="650"/>
    <w:link w:val="648"/>
    <w:uiPriority w:val="99"/>
    <w:semiHidden/>
    <w:unhideWhenUsed/>
    <w:tblPr/>
  </w:style>
  <w:style w:type="numbering" w:styleId="651">
    <w:name w:val="Нет списка"/>
    <w:next w:val="651"/>
    <w:link w:val="648"/>
    <w:uiPriority w:val="99"/>
    <w:semiHidden/>
    <w:unhideWhenUsed/>
  </w:style>
  <w:style w:type="character" w:styleId="652">
    <w:name w:val="WW8Num1z0"/>
    <w:next w:val="652"/>
    <w:link w:val="648"/>
  </w:style>
  <w:style w:type="character" w:styleId="653">
    <w:name w:val="WW8Num2z0"/>
    <w:next w:val="653"/>
    <w:link w:val="648"/>
  </w:style>
  <w:style w:type="character" w:styleId="654">
    <w:name w:val="WW8Num3z0"/>
    <w:next w:val="654"/>
    <w:link w:val="648"/>
    <w:rPr>
      <w:rFonts w:ascii="Times New Roman" w:hAnsi="Times New Roman" w:cs="Times New Roman"/>
      <w:sz w:val="24"/>
      <w:szCs w:val="24"/>
    </w:rPr>
  </w:style>
  <w:style w:type="character" w:styleId="655">
    <w:name w:val="WW8Num5z0"/>
    <w:next w:val="655"/>
    <w:link w:val="648"/>
  </w:style>
  <w:style w:type="character" w:styleId="656">
    <w:name w:val="WW8Num6z0"/>
    <w:next w:val="656"/>
    <w:link w:val="648"/>
  </w:style>
  <w:style w:type="character" w:styleId="657">
    <w:name w:val="WW8Num7z0"/>
    <w:next w:val="657"/>
    <w:link w:val="648"/>
  </w:style>
  <w:style w:type="character" w:styleId="658">
    <w:name w:val="WW8Num8z0"/>
    <w:next w:val="658"/>
    <w:link w:val="648"/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auto"/>
      <w:vertAlign w:val="baseline"/>
    </w:rPr>
  </w:style>
  <w:style w:type="character" w:styleId="659">
    <w:name w:val="WW8Num9z0"/>
    <w:next w:val="659"/>
    <w:link w:val="648"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auto"/>
      <w:vertAlign w:val="baseline"/>
    </w:rPr>
  </w:style>
  <w:style w:type="character" w:styleId="660">
    <w:name w:val="WW8Num10z0"/>
    <w:next w:val="660"/>
    <w:link w:val="648"/>
  </w:style>
  <w:style w:type="character" w:styleId="661">
    <w:name w:val="WW8Num11z0"/>
    <w:next w:val="661"/>
    <w:link w:val="648"/>
  </w:style>
  <w:style w:type="character" w:styleId="662">
    <w:name w:val="WW8Num12z0"/>
    <w:next w:val="662"/>
    <w:link w:val="648"/>
  </w:style>
  <w:style w:type="character" w:styleId="663">
    <w:name w:val="WW8Num12z1"/>
    <w:next w:val="663"/>
    <w:link w:val="648"/>
    <w:rPr>
      <w:b w:val="0"/>
      <w:bCs w:val="0"/>
      <w:i w:val="0"/>
      <w:color w:val="000000"/>
    </w:rPr>
  </w:style>
  <w:style w:type="character" w:styleId="664">
    <w:name w:val="WW8Num13z0"/>
    <w:next w:val="664"/>
    <w:link w:val="648"/>
  </w:style>
  <w:style w:type="character" w:styleId="665">
    <w:name w:val="WW8Num14z0"/>
    <w:next w:val="665"/>
    <w:link w:val="648"/>
  </w:style>
  <w:style w:type="character" w:styleId="666">
    <w:name w:val="WW8Num15z0"/>
    <w:next w:val="666"/>
    <w:link w:val="648"/>
  </w:style>
  <w:style w:type="character" w:styleId="667">
    <w:name w:val="WW8Num16z0"/>
    <w:next w:val="667"/>
    <w:link w:val="648"/>
  </w:style>
  <w:style w:type="character" w:styleId="668">
    <w:name w:val="WW8Num17z0"/>
    <w:next w:val="668"/>
    <w:link w:val="648"/>
  </w:style>
  <w:style w:type="character" w:styleId="669">
    <w:name w:val="Основной шрифт абзаца1"/>
    <w:next w:val="669"/>
    <w:link w:val="648"/>
  </w:style>
  <w:style w:type="character" w:styleId="670">
    <w:name w:val="Символ сноски"/>
    <w:next w:val="670"/>
    <w:link w:val="648"/>
    <w:rPr>
      <w:vertAlign w:val="superscript"/>
    </w:rPr>
  </w:style>
  <w:style w:type="character" w:styleId="671">
    <w:name w:val="Гиперссылка"/>
    <w:next w:val="671"/>
    <w:link w:val="648"/>
    <w:rPr>
      <w:color w:val="0000ff"/>
      <w:u w:val="single"/>
    </w:rPr>
  </w:style>
  <w:style w:type="character" w:styleId="672">
    <w:name w:val="Строгий"/>
    <w:next w:val="672"/>
    <w:link w:val="648"/>
    <w:qFormat/>
    <w:rPr>
      <w:b/>
      <w:bCs/>
    </w:rPr>
  </w:style>
  <w:style w:type="character" w:styleId="673">
    <w:name w:val="Текст выноски Знак"/>
    <w:next w:val="673"/>
    <w:link w:val="648"/>
    <w:rPr>
      <w:rFonts w:ascii="Tahoma" w:hAnsi="Tahoma" w:cs="Tahoma"/>
      <w:sz w:val="16"/>
      <w:szCs w:val="16"/>
    </w:rPr>
  </w:style>
  <w:style w:type="character" w:styleId="674">
    <w:name w:val="Основной текст 2 Знак"/>
    <w:next w:val="674"/>
    <w:link w:val="648"/>
  </w:style>
  <w:style w:type="character" w:styleId="675">
    <w:name w:val="Верхний колонтитул Знак"/>
    <w:next w:val="675"/>
    <w:link w:val="648"/>
    <w:rPr>
      <w:sz w:val="24"/>
      <w:szCs w:val="24"/>
    </w:rPr>
  </w:style>
  <w:style w:type="character" w:styleId="676">
    <w:name w:val="Нижний колонтитул Знак"/>
    <w:next w:val="676"/>
    <w:link w:val="648"/>
    <w:rPr>
      <w:sz w:val="24"/>
      <w:szCs w:val="24"/>
    </w:rPr>
  </w:style>
  <w:style w:type="character" w:styleId="677">
    <w:name w:val="Основной текст_"/>
    <w:next w:val="677"/>
    <w:link w:val="648"/>
    <w:rPr>
      <w:spacing w:val="3"/>
      <w:shd w:val="clear" w:color="auto" w:fill="ffffff"/>
    </w:rPr>
  </w:style>
  <w:style w:type="paragraph" w:styleId="678">
    <w:name w:val="Заголовок"/>
    <w:basedOn w:val="648"/>
    <w:next w:val="679"/>
    <w:link w:val="648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679">
    <w:name w:val="Основной текст"/>
    <w:basedOn w:val="648"/>
    <w:next w:val="679"/>
    <w:link w:val="648"/>
    <w:pPr>
      <w:spacing w:before="0" w:after="140" w:line="276" w:lineRule="auto"/>
    </w:pPr>
  </w:style>
  <w:style w:type="paragraph" w:styleId="680">
    <w:name w:val="Список"/>
    <w:basedOn w:val="679"/>
    <w:next w:val="680"/>
    <w:link w:val="648"/>
    <w:rPr>
      <w:rFonts w:ascii="PT Astra Serif" w:hAnsi="PT Astra Serif" w:cs="Noto Sans Devanagari"/>
    </w:rPr>
  </w:style>
  <w:style w:type="paragraph" w:styleId="681">
    <w:name w:val="Название объекта"/>
    <w:basedOn w:val="648"/>
    <w:next w:val="681"/>
    <w:link w:val="648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82">
    <w:name w:val="Указатель1"/>
    <w:basedOn w:val="648"/>
    <w:next w:val="682"/>
    <w:link w:val="648"/>
    <w:pPr>
      <w:suppressLineNumbers/>
    </w:pPr>
    <w:rPr>
      <w:rFonts w:ascii="PT Astra Serif" w:hAnsi="PT Astra Serif" w:cs="Noto Sans Devanagari"/>
    </w:rPr>
  </w:style>
  <w:style w:type="paragraph" w:styleId="683">
    <w:name w:val="Текст выноски"/>
    <w:basedOn w:val="648"/>
    <w:next w:val="683"/>
    <w:link w:val="648"/>
    <w:rPr>
      <w:rFonts w:ascii="Tahoma" w:hAnsi="Tahoma" w:cs="Tahoma"/>
      <w:sz w:val="16"/>
      <w:szCs w:val="16"/>
    </w:rPr>
  </w:style>
  <w:style w:type="paragraph" w:styleId="684">
    <w:name w:val="Основной текст 21"/>
    <w:basedOn w:val="648"/>
    <w:next w:val="684"/>
    <w:link w:val="648"/>
    <w:pPr>
      <w:spacing w:before="0" w:after="120" w:line="480" w:lineRule="auto"/>
    </w:pPr>
    <w:rPr>
      <w:sz w:val="20"/>
      <w:szCs w:val="20"/>
    </w:rPr>
  </w:style>
  <w:style w:type="paragraph" w:styleId="685">
    <w:name w:val="Header and Footer"/>
    <w:basedOn w:val="648"/>
    <w:next w:val="685"/>
    <w:link w:val="648"/>
    <w:pPr>
      <w:tabs>
        <w:tab w:val="center" w:pos="4819" w:leader="none"/>
        <w:tab w:val="right" w:pos="9638" w:leader="none"/>
      </w:tabs>
      <w:suppressLineNumbers/>
    </w:pPr>
  </w:style>
  <w:style w:type="paragraph" w:styleId="686">
    <w:name w:val="Верхний колонтитул"/>
    <w:basedOn w:val="648"/>
    <w:next w:val="686"/>
    <w:link w:val="648"/>
    <w:pPr>
      <w:tabs>
        <w:tab w:val="center" w:pos="4677" w:leader="none"/>
        <w:tab w:val="right" w:pos="9355" w:leader="none"/>
      </w:tabs>
    </w:pPr>
  </w:style>
  <w:style w:type="paragraph" w:styleId="687">
    <w:name w:val="Нижний колонтитул"/>
    <w:basedOn w:val="648"/>
    <w:next w:val="687"/>
    <w:link w:val="648"/>
    <w:pPr>
      <w:tabs>
        <w:tab w:val="center" w:pos="4677" w:leader="none"/>
        <w:tab w:val="right" w:pos="9355" w:leader="none"/>
      </w:tabs>
    </w:pPr>
  </w:style>
  <w:style w:type="paragraph" w:styleId="688">
    <w:name w:val="Обычный (веб)"/>
    <w:basedOn w:val="648"/>
    <w:next w:val="688"/>
    <w:link w:val="648"/>
    <w:pPr>
      <w:spacing w:before="100" w:after="100"/>
    </w:pPr>
  </w:style>
  <w:style w:type="paragraph" w:styleId="689">
    <w:name w:val="ConsNormal"/>
    <w:next w:val="689"/>
    <w:link w:val="648"/>
    <w:pPr>
      <w:ind w:firstLine="720"/>
    </w:pPr>
    <w:rPr>
      <w:rFonts w:ascii="Arial" w:hAnsi="Arial" w:cs="Arial"/>
      <w:lang w:val="ru-RU" w:eastAsia="zh-CN" w:bidi="ar-SA"/>
    </w:rPr>
  </w:style>
  <w:style w:type="paragraph" w:styleId="690">
    <w:name w:val="ConsNonformat"/>
    <w:next w:val="690"/>
    <w:link w:val="648"/>
    <w:pPr>
      <w:ind w:right="19772"/>
    </w:pPr>
    <w:rPr>
      <w:rFonts w:ascii="Courier New" w:hAnsi="Courier New" w:cs="Courier New"/>
      <w:lang w:val="ru-RU" w:eastAsia="zh-CN" w:bidi="ar-SA"/>
    </w:rPr>
  </w:style>
  <w:style w:type="paragraph" w:styleId="691">
    <w:name w:val="Абзац списка"/>
    <w:basedOn w:val="648"/>
    <w:next w:val="691"/>
    <w:link w:val="648"/>
    <w:qFormat/>
    <w:pPr>
      <w:contextualSpacing/>
      <w:ind w:left="720" w:right="0" w:firstLine="0"/>
      <w:spacing w:before="0" w:after="200" w:line="276" w:lineRule="auto"/>
    </w:pPr>
    <w:rPr>
      <w:rFonts w:ascii="Calibri" w:hAnsi="Calibri" w:eastAsia="Calibri" w:cs="Times New Roman"/>
      <w:sz w:val="22"/>
      <w:szCs w:val="22"/>
    </w:rPr>
  </w:style>
  <w:style w:type="paragraph" w:styleId="692">
    <w:name w:val="ConsPlusNormal"/>
    <w:next w:val="692"/>
    <w:link w:val="648"/>
    <w:pPr>
      <w:ind w:firstLine="720"/>
      <w:widowControl w:val="off"/>
    </w:pPr>
    <w:rPr>
      <w:rFonts w:ascii="Arial" w:hAnsi="Arial" w:cs="Arial"/>
      <w:lang w:val="ru-RU" w:eastAsia="zh-CN" w:bidi="ar-SA"/>
    </w:rPr>
  </w:style>
  <w:style w:type="paragraph" w:styleId="693">
    <w:name w:val="Основной текст2"/>
    <w:basedOn w:val="648"/>
    <w:next w:val="693"/>
    <w:link w:val="648"/>
    <w:pPr>
      <w:jc w:val="both"/>
      <w:spacing w:before="240" w:after="420" w:line="0" w:lineRule="atLeast"/>
      <w:shd w:val="clear" w:color="auto" w:fill="ffffff"/>
      <w:widowControl w:val="off"/>
    </w:pPr>
    <w:rPr>
      <w:spacing w:val="3"/>
      <w:sz w:val="20"/>
      <w:szCs w:val="20"/>
    </w:rPr>
  </w:style>
  <w:style w:type="paragraph" w:styleId="694">
    <w:name w:val="Без интервала"/>
    <w:next w:val="694"/>
    <w:link w:val="648"/>
    <w:qFormat/>
    <w:rPr>
      <w:sz w:val="24"/>
      <w:szCs w:val="24"/>
      <w:lang w:val="ru-RU" w:eastAsia="zh-CN" w:bidi="ar-SA"/>
    </w:rPr>
  </w:style>
  <w:style w:type="paragraph" w:styleId="695">
    <w:name w:val="Основной текст1"/>
    <w:basedOn w:val="648"/>
    <w:next w:val="695"/>
    <w:link w:val="648"/>
    <w:pPr>
      <w:ind w:left="0" w:right="0" w:firstLine="400"/>
      <w:widowControl w:val="off"/>
    </w:pPr>
    <w:rPr>
      <w:sz w:val="22"/>
      <w:szCs w:val="22"/>
    </w:rPr>
  </w:style>
  <w:style w:type="paragraph" w:styleId="696">
    <w:name w:val="Абзац списка1"/>
    <w:basedOn w:val="648"/>
    <w:next w:val="696"/>
    <w:link w:val="648"/>
    <w:pPr>
      <w:contextualSpacing/>
      <w:ind w:left="720" w:right="0" w:firstLine="0"/>
      <w:spacing w:before="0" w:after="160" w:line="256" w:lineRule="auto"/>
    </w:pPr>
    <w:rPr>
      <w:rFonts w:ascii="Droid Sans" w:hAnsi="Droid Sans" w:eastAsia="Droid Sans" w:cs="Arial"/>
      <w:sz w:val="22"/>
      <w:szCs w:val="22"/>
    </w:rPr>
  </w:style>
  <w:style w:type="paragraph" w:styleId="697">
    <w:name w:val="Содержимое таблицы"/>
    <w:basedOn w:val="648"/>
    <w:next w:val="697"/>
    <w:link w:val="648"/>
    <w:pPr>
      <w:widowControl w:val="off"/>
      <w:suppressLineNumbers/>
    </w:pPr>
  </w:style>
  <w:style w:type="paragraph" w:styleId="698">
    <w:name w:val="Заголовок таблицы"/>
    <w:basedOn w:val="697"/>
    <w:next w:val="698"/>
    <w:link w:val="648"/>
    <w:pPr>
      <w:jc w:val="center"/>
      <w:suppressLineNumbers/>
    </w:pPr>
    <w:rPr>
      <w:b/>
      <w:bCs/>
    </w:rPr>
  </w:style>
  <w:style w:type="table" w:styleId="699">
    <w:name w:val="html_any Table"/>
    <w:basedOn w:val="650"/>
    <w:next w:val="699"/>
    <w:link w:val="648"/>
    <w:tblPr/>
  </w:style>
  <w:style w:type="character" w:styleId="969" w:default="1">
    <w:name w:val="Default Paragraph Font"/>
    <w:uiPriority w:val="1"/>
    <w:semiHidden/>
    <w:unhideWhenUsed/>
  </w:style>
  <w:style w:type="numbering" w:styleId="970" w:default="1">
    <w:name w:val="No List"/>
    <w:uiPriority w:val="99"/>
    <w:semiHidden/>
    <w:unhideWhenUsed/>
  </w:style>
  <w:style w:type="table" w:styleId="97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elizarova</cp:lastModifiedBy>
  <cp:revision>6</cp:revision>
  <dcterms:created xsi:type="dcterms:W3CDTF">2026-01-16T07:33:00Z</dcterms:created>
  <dcterms:modified xsi:type="dcterms:W3CDTF">2026-07-20T04:44:50Z</dcterms:modified>
  <cp:version>983040</cp:version>
</cp:coreProperties>
</file>