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Нижнеилимский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1B14B4" w:rsidRDefault="00686913" w:rsidP="006869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1B14B4">
        <w:rPr>
          <w:b/>
          <w:sz w:val="28"/>
          <w:szCs w:val="28"/>
          <w:u w:val="single"/>
        </w:rPr>
        <w:t xml:space="preserve">От </w:t>
      </w:r>
      <w:r w:rsidR="001B14B4" w:rsidRPr="001B14B4">
        <w:rPr>
          <w:b/>
          <w:sz w:val="28"/>
          <w:szCs w:val="28"/>
          <w:u w:val="single"/>
        </w:rPr>
        <w:t>«26</w:t>
      </w:r>
      <w:r w:rsidRPr="001B14B4">
        <w:rPr>
          <w:b/>
          <w:sz w:val="28"/>
          <w:szCs w:val="28"/>
          <w:u w:val="single"/>
        </w:rPr>
        <w:t>»_</w:t>
      </w:r>
      <w:r w:rsidR="001B14B4" w:rsidRPr="001B14B4">
        <w:rPr>
          <w:b/>
          <w:sz w:val="28"/>
          <w:szCs w:val="28"/>
          <w:u w:val="single"/>
        </w:rPr>
        <w:t>10</w:t>
      </w:r>
      <w:r w:rsidRPr="001B14B4">
        <w:rPr>
          <w:b/>
          <w:sz w:val="28"/>
          <w:szCs w:val="28"/>
          <w:u w:val="single"/>
        </w:rPr>
        <w:t>_201</w:t>
      </w:r>
      <w:r w:rsidR="006537DF" w:rsidRPr="001B14B4">
        <w:rPr>
          <w:b/>
          <w:sz w:val="28"/>
          <w:szCs w:val="28"/>
          <w:u w:val="single"/>
        </w:rPr>
        <w:t>8</w:t>
      </w:r>
      <w:r w:rsidRPr="001B14B4">
        <w:rPr>
          <w:b/>
          <w:sz w:val="28"/>
          <w:szCs w:val="28"/>
          <w:u w:val="single"/>
        </w:rPr>
        <w:t>г. №</w:t>
      </w:r>
      <w:r w:rsidR="001B14B4" w:rsidRPr="001B14B4">
        <w:rPr>
          <w:b/>
          <w:sz w:val="28"/>
          <w:szCs w:val="28"/>
          <w:u w:val="single"/>
        </w:rPr>
        <w:t>985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686913" w:rsidRPr="007E0085" w:rsidRDefault="00686913" w:rsidP="00686913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«О внесении изменений в муниципальную программу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дополнительного образования детей </w:t>
      </w:r>
      <w:r w:rsidRPr="007E0085">
        <w:rPr>
          <w:spacing w:val="-1"/>
          <w:sz w:val="28"/>
          <w:szCs w:val="28"/>
        </w:rPr>
        <w:t>в Ни</w:t>
      </w:r>
      <w:r>
        <w:rPr>
          <w:spacing w:val="-1"/>
          <w:sz w:val="28"/>
          <w:szCs w:val="28"/>
        </w:rPr>
        <w:t xml:space="preserve">жнеилимском 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годы, утвержденную</w:t>
      </w:r>
    </w:p>
    <w:p w:rsidR="00686913" w:rsidRPr="007E0085" w:rsidRDefault="008D23DE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86913" w:rsidRPr="007E0085">
        <w:rPr>
          <w:spacing w:val="-1"/>
          <w:sz w:val="28"/>
          <w:szCs w:val="28"/>
        </w:rPr>
        <w:t>остановлением администрации Нижнеилимского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муниципального 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 xml:space="preserve">Внести в муниципальную программу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  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 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686913">
      <w:pPr>
        <w:ind w:firstLine="561"/>
      </w:pPr>
    </w:p>
    <w:p w:rsidR="00686913" w:rsidRDefault="00686913" w:rsidP="00686913">
      <w:pPr>
        <w:ind w:firstLine="561"/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lastRenderedPageBreak/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EA51C9">
              <w:rPr>
                <w:b/>
              </w:rPr>
              <w:t>706</w:t>
            </w:r>
            <w:r w:rsidR="00D6015C">
              <w:rPr>
                <w:b/>
              </w:rPr>
              <w:t> 992,0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EA51C9">
              <w:rPr>
                <w:b/>
              </w:rPr>
              <w:t>124 058,7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EA51C9">
              <w:rPr>
                <w:b/>
              </w:rPr>
              <w:t>66</w:t>
            </w:r>
            <w:r w:rsidR="00D6015C">
              <w:rPr>
                <w:b/>
              </w:rPr>
              <w:t> 738,0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 w:rsidR="00EA51C9">
              <w:rPr>
                <w:b/>
              </w:rPr>
              <w:t>121 774,2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EA51C9">
              <w:rPr>
                <w:b/>
              </w:rPr>
              <w:t>259 562,7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EA51C9">
              <w:rPr>
                <w:b/>
              </w:rPr>
              <w:t>134 858,4</w:t>
            </w:r>
            <w:r w:rsidRPr="00A26BB6">
              <w:t xml:space="preserve">  тыс. рублей;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A51C9">
              <w:rPr>
                <w:b/>
              </w:rPr>
              <w:t>117 998,</w:t>
            </w:r>
            <w:r w:rsidR="00D6015C">
              <w:rPr>
                <w:b/>
              </w:rPr>
              <w:t>7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EA51C9">
              <w:rPr>
                <w:b/>
              </w:rPr>
              <w:t>702 943,</w:t>
            </w:r>
            <w:r w:rsidR="00D6015C">
              <w:rPr>
                <w:b/>
              </w:rPr>
              <w:t>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A51C9">
              <w:rPr>
                <w:b/>
              </w:rPr>
              <w:t>113 949,</w:t>
            </w:r>
            <w:r w:rsidR="00D6015C">
              <w:rPr>
                <w:b/>
              </w:rPr>
              <w:t>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57D34">
              <w:rPr>
                <w:b/>
              </w:rPr>
              <w:t>4 048,8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="00C57D34"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Pr="001F67DF" w:rsidRDefault="00686913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Default="00686913" w:rsidP="00686913">
      <w:pPr>
        <w:jc w:val="both"/>
      </w:pPr>
    </w:p>
    <w:p w:rsidR="00686913" w:rsidRPr="00A26BB6" w:rsidRDefault="00686913" w:rsidP="00686913">
      <w:pPr>
        <w:jc w:val="center"/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lastRenderedPageBreak/>
        <w:t xml:space="preserve">Общий объем финансирования муниципальной  программы  составляет </w:t>
      </w:r>
      <w:r w:rsidR="007B43AE">
        <w:rPr>
          <w:b/>
          <w:bCs/>
          <w:spacing w:val="-9"/>
          <w:sz w:val="28"/>
          <w:szCs w:val="28"/>
        </w:rPr>
        <w:t>706</w:t>
      </w:r>
      <w:r w:rsidR="00D6015C">
        <w:rPr>
          <w:b/>
          <w:bCs/>
          <w:spacing w:val="-9"/>
          <w:sz w:val="28"/>
          <w:szCs w:val="28"/>
        </w:rPr>
        <w:t> </w:t>
      </w:r>
      <w:r w:rsidR="007B43AE">
        <w:rPr>
          <w:b/>
          <w:bCs/>
          <w:spacing w:val="-9"/>
          <w:sz w:val="28"/>
          <w:szCs w:val="28"/>
        </w:rPr>
        <w:t>99</w:t>
      </w:r>
      <w:r w:rsidR="00D6015C">
        <w:rPr>
          <w:b/>
          <w:bCs/>
          <w:spacing w:val="-9"/>
          <w:sz w:val="28"/>
          <w:szCs w:val="28"/>
        </w:rPr>
        <w:t xml:space="preserve">2,0 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2.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>Таблица 2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в Нижнеилимском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6015C" w:rsidP="00C5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706 992,0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60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117 998,</w:t>
            </w:r>
            <w:r w:rsidR="00D60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702 943,</w:t>
            </w:r>
            <w:r w:rsidR="00D6015C">
              <w:rPr>
                <w:sz w:val="20"/>
                <w:szCs w:val="20"/>
              </w:rPr>
              <w:t>2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7B43AE" w:rsidP="00D601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113 949,</w:t>
            </w:r>
            <w:r w:rsidR="00D6015C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920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21 909,3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20 444,8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6015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6015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607</w:t>
            </w:r>
            <w:r w:rsidR="00D6015C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6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66 171,</w:t>
            </w:r>
            <w:r w:rsidR="00D601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6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9 040,</w:t>
            </w:r>
            <w:r w:rsidR="00D6015C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FB1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121 774,2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FB1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18 398,2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FB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8D3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259 562,7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37 455,9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258 030,1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  <w:bookmarkStart w:id="0" w:name="_GoBack"/>
            <w:bookmarkEnd w:id="0"/>
            <w:r>
              <w:rPr>
                <w:iCs/>
                <w:sz w:val="20"/>
                <w:szCs w:val="20"/>
              </w:rPr>
              <w:t>923,3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134 858,4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30 628,2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134 828,4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30 598,2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7B43AE">
              <w:rPr>
                <w:b/>
              </w:rPr>
              <w:t>124 058,7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21 909,3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7B43AE">
              <w:rPr>
                <w:b/>
              </w:rPr>
              <w:t>122 594,2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20 444,8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</w:t>
            </w:r>
            <w:r w:rsidRPr="00A26BB6">
              <w:lastRenderedPageBreak/>
              <w:t xml:space="preserve">бюджетной системы Российской Федерации – </w:t>
            </w:r>
            <w:r w:rsidR="001234BC">
              <w:rPr>
                <w:b/>
              </w:rPr>
              <w:t>1 464,5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 w:rsidR="008D3DD9"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jc w:val="both"/>
        <w:rPr>
          <w:sz w:val="28"/>
          <w:szCs w:val="28"/>
        </w:rPr>
      </w:pP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7B43AE">
        <w:rPr>
          <w:b/>
          <w:bCs/>
          <w:sz w:val="28"/>
          <w:szCs w:val="28"/>
        </w:rPr>
        <w:t>124 058,7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10"/>
        <w:gridCol w:w="158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AA6F6B">
        <w:trPr>
          <w:trHeight w:val="4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12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 В пункт 9 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7B43AE">
              <w:rPr>
                <w:b/>
              </w:rPr>
              <w:t>66</w:t>
            </w:r>
            <w:r w:rsidR="00D6015C">
              <w:rPr>
                <w:b/>
              </w:rPr>
              <w:t> </w:t>
            </w:r>
            <w:r w:rsidR="007B43AE">
              <w:rPr>
                <w:b/>
              </w:rPr>
              <w:t>73</w:t>
            </w:r>
            <w:r w:rsidR="00D6015C">
              <w:rPr>
                <w:b/>
              </w:rPr>
              <w:t>8,0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6015C">
              <w:rPr>
                <w:b/>
              </w:rPr>
              <w:t> </w:t>
            </w:r>
            <w:r w:rsidR="007B43AE">
              <w:rPr>
                <w:b/>
              </w:rPr>
              <w:t>607</w:t>
            </w:r>
            <w:r w:rsidR="00D6015C">
              <w:rPr>
                <w:b/>
              </w:rPr>
              <w:t>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>
              <w:rPr>
                <w:b/>
                <w:bCs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7B43AE">
              <w:rPr>
                <w:b/>
              </w:rPr>
              <w:t>66 171,</w:t>
            </w:r>
            <w:r w:rsidR="00136A32">
              <w:rPr>
                <w:b/>
              </w:rPr>
              <w:t>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9 040,</w:t>
            </w:r>
            <w:r w:rsidR="00136A32">
              <w:rPr>
                <w:b/>
              </w:rPr>
              <w:t>8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>
              <w:rPr>
                <w:b/>
                <w:bCs/>
              </w:rPr>
              <w:t>7 922,0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B36D90">
              <w:rPr>
                <w:b/>
              </w:rPr>
              <w:t>566,3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B36D90">
              <w:rPr>
                <w:b/>
              </w:rPr>
              <w:t>566,3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1.6В пункт 9 главы 1</w:t>
      </w:r>
      <w:r>
        <w:rPr>
          <w:sz w:val="28"/>
          <w:szCs w:val="28"/>
        </w:rPr>
        <w:t>1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 w:rsidR="007B43AE">
              <w:rPr>
                <w:b/>
              </w:rPr>
              <w:t>121 774,2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18 398,2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7B43AE">
              <w:rPr>
                <w:b/>
              </w:rPr>
              <w:t>121 318,8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17 942,8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0C733A">
              <w:rPr>
                <w:b/>
              </w:rPr>
              <w:t>455,4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lastRenderedPageBreak/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1.7</w:t>
      </w:r>
      <w:r>
        <w:rPr>
          <w:sz w:val="28"/>
          <w:szCs w:val="28"/>
        </w:rPr>
        <w:t>Читать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7B43AE">
        <w:rPr>
          <w:b/>
          <w:bCs/>
          <w:sz w:val="28"/>
          <w:szCs w:val="28"/>
        </w:rPr>
        <w:t>121 774,2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4.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  <w:r w:rsidRPr="007C0177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7B43AE" w:rsidP="008174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7B43AE" w:rsidP="008174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24 312,2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686913" w:rsidP="00686913">
      <w:pPr>
        <w:rPr>
          <w:sz w:val="28"/>
          <w:szCs w:val="28"/>
        </w:rPr>
      </w:pPr>
      <w:r w:rsidRPr="00FE7365">
        <w:rPr>
          <w:sz w:val="28"/>
          <w:szCs w:val="28"/>
        </w:rPr>
        <w:t>1.8</w:t>
      </w:r>
      <w:r>
        <w:rPr>
          <w:sz w:val="28"/>
          <w:szCs w:val="28"/>
        </w:rPr>
        <w:t xml:space="preserve"> Внести в пункт 9 главы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686913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40363C">
              <w:rPr>
                <w:b/>
              </w:rPr>
              <w:t>259 562,7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37 455,9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0363C">
              <w:rPr>
                <w:b/>
              </w:rPr>
              <w:t>258 030,1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35 923,3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2054F">
              <w:rPr>
                <w:b/>
              </w:rPr>
              <w:t>1 532,6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1 532,6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FE7365" w:rsidRDefault="00686913" w:rsidP="00DC03BF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1.9Раздел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FE7365" w:rsidRDefault="00686913" w:rsidP="00686913">
      <w:pPr>
        <w:jc w:val="both"/>
        <w:rPr>
          <w:sz w:val="28"/>
          <w:szCs w:val="28"/>
        </w:rPr>
      </w:pP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40363C">
        <w:rPr>
          <w:b/>
          <w:bCs/>
          <w:iCs/>
          <w:sz w:val="28"/>
          <w:szCs w:val="28"/>
        </w:rPr>
        <w:t>259 562,7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  <w:r w:rsidRPr="00265C26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40363C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258 030,1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40363C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35 923,3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35 064,0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C2054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C2054F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1 532,6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r>
        <w:rPr>
          <w:sz w:val="28"/>
          <w:szCs w:val="28"/>
        </w:rPr>
        <w:t>В пункт 9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:rsidR="00686913" w:rsidRPr="002665F8" w:rsidRDefault="00686913" w:rsidP="00686913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40363C">
              <w:rPr>
                <w:b/>
              </w:rPr>
              <w:t>134 858,4</w:t>
            </w:r>
            <w:r w:rsidRPr="00A26BB6">
              <w:rPr>
                <w:b/>
              </w:rPr>
              <w:t>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30 628,2</w:t>
            </w:r>
            <w:r w:rsidRPr="00A26BB6">
              <w:t>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тыс.руб.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0363C">
              <w:rPr>
                <w:b/>
              </w:rPr>
              <w:t>134 828,4</w:t>
            </w:r>
            <w:r w:rsidRPr="00A26BB6">
              <w:t xml:space="preserve"> тыс. руб., в том числе по </w:t>
            </w:r>
            <w:r w:rsidRPr="00A26BB6">
              <w:lastRenderedPageBreak/>
              <w:t xml:space="preserve">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30 598,2</w:t>
            </w:r>
            <w:r w:rsidRPr="00A26BB6">
              <w:t>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тыс.руб.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тыс.руб.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1.11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 w:rsidRPr="00110E9D">
        <w:rPr>
          <w:spacing w:val="-4"/>
          <w:sz w:val="28"/>
          <w:szCs w:val="28"/>
        </w:rPr>
        <w:t xml:space="preserve">2. Опубликовать настоящее постановление в периодическом издании «Вестник Думы и администрации Нижнеилимского муниципального района», разместить на </w:t>
      </w:r>
      <w:r>
        <w:rPr>
          <w:spacing w:val="-4"/>
          <w:sz w:val="28"/>
          <w:szCs w:val="28"/>
        </w:rPr>
        <w:t xml:space="preserve">официальном информационном  </w:t>
      </w:r>
      <w:r w:rsidRPr="00110E9D">
        <w:rPr>
          <w:spacing w:val="-4"/>
          <w:sz w:val="28"/>
          <w:szCs w:val="28"/>
        </w:rPr>
        <w:t xml:space="preserve">сайте </w:t>
      </w:r>
      <w:r>
        <w:rPr>
          <w:spacing w:val="-4"/>
          <w:sz w:val="28"/>
          <w:szCs w:val="28"/>
        </w:rPr>
        <w:t>МО«</w:t>
      </w:r>
      <w:r w:rsidRPr="00110E9D">
        <w:rPr>
          <w:spacing w:val="-4"/>
          <w:sz w:val="28"/>
          <w:szCs w:val="28"/>
        </w:rPr>
        <w:t>Нижнеилимск</w:t>
      </w:r>
      <w:r>
        <w:rPr>
          <w:spacing w:val="-4"/>
          <w:sz w:val="28"/>
          <w:szCs w:val="28"/>
        </w:rPr>
        <w:t>ий</w:t>
      </w:r>
      <w:r w:rsidRPr="00110E9D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»</w:t>
      </w:r>
      <w:r w:rsidRPr="00110E9D">
        <w:rPr>
          <w:spacing w:val="-4"/>
          <w:sz w:val="28"/>
          <w:szCs w:val="28"/>
        </w:rPr>
        <w:t>.</w:t>
      </w:r>
    </w:p>
    <w:p w:rsidR="00686913" w:rsidRPr="00110E9D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</w:p>
    <w:p w:rsidR="00686913" w:rsidRPr="00110E9D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 w:rsidRPr="00110E9D">
        <w:rPr>
          <w:sz w:val="28"/>
          <w:szCs w:val="28"/>
        </w:rPr>
        <w:tab/>
        <w:t>3.Контроль за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CA7786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4657A" w:rsidRPr="00CA7786">
        <w:rPr>
          <w:sz w:val="28"/>
          <w:szCs w:val="28"/>
        </w:rPr>
        <w:t>района                      М.С.Романов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Козак Г.П., ФУ, Т.К.Пирогова, ОКСДМ, </w:t>
      </w:r>
      <w:r>
        <w:t>ОСЭР</w:t>
      </w:r>
    </w:p>
    <w:p w:rsidR="00686913" w:rsidRDefault="00686913" w:rsidP="00686913"/>
    <w:p w:rsidR="00686913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  <w:sectPr w:rsidR="00686913" w:rsidSect="00AA6F6B">
          <w:footerReference w:type="default" r:id="rId8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Нижнеилимского муниципального района </w:t>
      </w:r>
    </w:p>
    <w:p w:rsidR="00686913" w:rsidRDefault="001B14B4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«26</w:t>
      </w:r>
      <w:r w:rsidR="00AA6F6B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10 . 2018</w:t>
      </w:r>
      <w:r w:rsidR="00686913">
        <w:rPr>
          <w:spacing w:val="-1"/>
          <w:sz w:val="28"/>
          <w:szCs w:val="28"/>
        </w:rPr>
        <w:t xml:space="preserve">г. № </w:t>
      </w:r>
      <w:r>
        <w:rPr>
          <w:spacing w:val="-1"/>
          <w:sz w:val="28"/>
          <w:szCs w:val="28"/>
        </w:rPr>
        <w:t>985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1 «Организация культурно – досуговой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1016"/>
        <w:gridCol w:w="886"/>
        <w:gridCol w:w="886"/>
        <w:gridCol w:w="900"/>
        <w:gridCol w:w="886"/>
        <w:gridCol w:w="886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Показатель результатив-ности подпрограммы</w:t>
            </w:r>
          </w:p>
        </w:tc>
      </w:tr>
      <w:tr w:rsidR="00686913" w:rsidTr="00D550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686913" w:rsidTr="00D550BC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обл.бюджета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79392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122 978,7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79392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21 899,3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096851" w:rsidP="0046069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096851" w:rsidP="0046069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686913" w:rsidTr="00D550BC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обл.бюджета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03184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121 863,7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793922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  <w:r w:rsidR="000243AC">
              <w:rPr>
                <w:lang w:eastAsia="en-US"/>
              </w:rPr>
              <w:t>8</w:t>
            </w:r>
            <w:r>
              <w:rPr>
                <w:lang w:eastAsia="en-US"/>
              </w:rPr>
              <w:t>9,3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24 042,4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24 846,5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1.1.1.4.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50BC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03184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122 978,7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9392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21 899,3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>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культурно-досуговых мероприятий</w:t>
            </w: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lastRenderedPageBreak/>
              <w:t>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МБУК РДК </w:t>
            </w:r>
            <w:r>
              <w:rPr>
                <w:lang w:eastAsia="en-US"/>
              </w:rPr>
              <w:lastRenderedPageBreak/>
              <w:t>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местный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124 058,7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21 909,3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122 594,2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53CC5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20 444,8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50BC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обл.бюджета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AA6F6B" w:rsidP="00686913">
      <w:pPr>
        <w:spacing w:line="240" w:lineRule="atLeast"/>
        <w:rPr>
          <w:sz w:val="28"/>
          <w:szCs w:val="28"/>
        </w:rPr>
      </w:pPr>
      <w:r w:rsidRPr="00F45C1C">
        <w:rPr>
          <w:sz w:val="28"/>
          <w:szCs w:val="28"/>
        </w:rPr>
        <w:t>Мэр района                    М.С.Романов</w:t>
      </w: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320C49" w:rsidRDefault="00320C49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1B14B4" w:rsidRDefault="001B14B4" w:rsidP="001B14B4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«26» 10 . 2018г. № 985</w:t>
      </w: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B84959" w:rsidRPr="00F73811" w:rsidTr="00B84959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</w:rPr>
              <w:t>дотации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DF1BE2" w:rsidP="0080269A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8026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</w:t>
            </w:r>
            <w:r w:rsidR="0080269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DF1BE2" w:rsidP="00B8495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8026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607</w:t>
            </w:r>
            <w:r w:rsidR="0080269A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</w:rPr>
              <w:t>дотации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DF1BE2" w:rsidP="0080269A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8026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</w:t>
            </w:r>
            <w:r w:rsidR="0080269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DF1BE2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</w:t>
            </w:r>
            <w:r w:rsidR="0080269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13 086,8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13 546,9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14 018,2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9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B84959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DF1BE2" w:rsidP="0080269A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80269A">
              <w:rPr>
                <w:sz w:val="22"/>
                <w:szCs w:val="22"/>
              </w:rPr>
              <w:t> 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DF1BE2" w:rsidP="0080269A">
            <w:pPr>
              <w:jc w:val="center"/>
            </w:pPr>
            <w:r>
              <w:rPr>
                <w:sz w:val="22"/>
                <w:szCs w:val="22"/>
              </w:rPr>
              <w:t>9607,</w:t>
            </w:r>
            <w:r w:rsidR="0080269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D313F1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959" w:rsidRPr="00F73811" w:rsidRDefault="00B84959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80269A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9A" w:rsidRPr="00F73811" w:rsidRDefault="0080269A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jc w:val="center"/>
            </w:pPr>
            <w:r>
              <w:rPr>
                <w:sz w:val="22"/>
                <w:szCs w:val="22"/>
              </w:rPr>
              <w:t>66 738,0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jc w:val="center"/>
            </w:pPr>
            <w:r>
              <w:rPr>
                <w:sz w:val="22"/>
                <w:szCs w:val="22"/>
              </w:rPr>
              <w:t>9607,1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9A" w:rsidRPr="00F73811" w:rsidRDefault="0080269A" w:rsidP="00962BC2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9A" w:rsidRPr="00F73811" w:rsidRDefault="0080269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DF1BE2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DF1BE2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80269A">
            <w:pPr>
              <w:jc w:val="center"/>
            </w:pPr>
            <w:r>
              <w:rPr>
                <w:sz w:val="22"/>
                <w:szCs w:val="22"/>
              </w:rPr>
              <w:t>66 171,</w:t>
            </w:r>
            <w:r w:rsidR="0080269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80269A">
            <w:pPr>
              <w:jc w:val="center"/>
            </w:pPr>
            <w:r>
              <w:rPr>
                <w:sz w:val="22"/>
                <w:szCs w:val="22"/>
              </w:rPr>
              <w:t>9 040,</w:t>
            </w:r>
            <w:r w:rsidR="0080269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  <w:r w:rsidRPr="00F73811">
              <w:rPr>
                <w:sz w:val="22"/>
                <w:szCs w:val="22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DF1BE2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DF1BE2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DF1BE2" w:rsidRPr="00F73811" w:rsidTr="003F1B42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E2" w:rsidRPr="00F73811" w:rsidRDefault="00DF1BE2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обл.бюджета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DF1BE2" w:rsidRPr="00F73811" w:rsidRDefault="00DF1BE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BE2" w:rsidRPr="00F73811" w:rsidRDefault="00DF1BE2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                                                                                              М.С.Романов</w:t>
      </w: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lastRenderedPageBreak/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1B14B4" w:rsidRDefault="001B14B4" w:rsidP="001B14B4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«26» 10 . 2018г. № 985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70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AA6F6B">
        <w:trPr>
          <w:trHeight w:val="6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6570E8">
        <w:trPr>
          <w:trHeight w:val="7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AA6F6B">
        <w:trPr>
          <w:trHeight w:val="1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AA6F6B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AA6F6B">
        <w:trPr>
          <w:trHeight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1.1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686913" w:rsidRPr="00F73811" w:rsidTr="00AA6F6B">
        <w:trPr>
          <w:trHeight w:val="19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Организация библиотечного</w:t>
            </w:r>
          </w:p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«Нижнеилимская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sz w:val="22"/>
                <w:szCs w:val="22"/>
                <w:lang w:eastAsia="en-US"/>
              </w:rPr>
              <w:t>дотации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42425D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121 774,2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42425D" w:rsidP="00B34DB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686913" w:rsidRPr="00F73811" w:rsidTr="00AA6F6B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Предоставление качественных библиотечных услуг </w:t>
            </w:r>
            <w:r w:rsidRPr="00F73811">
              <w:rPr>
                <w:lang w:eastAsia="en-US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 xml:space="preserve">ОКСДМ, МКУК «Нижнеилимская ЦМБ имени </w:t>
            </w:r>
            <w:r w:rsidRPr="00F73811">
              <w:rPr>
                <w:lang w:eastAsia="en-US"/>
              </w:rPr>
              <w:lastRenderedPageBreak/>
              <w:t>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местный бюджет,</w:t>
            </w:r>
            <w:r w:rsidRPr="00F73811">
              <w:rPr>
                <w:sz w:val="22"/>
                <w:szCs w:val="22"/>
                <w:lang w:eastAsia="en-US"/>
              </w:rPr>
              <w:t>дотации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1F7EA2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120 581,2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1F7EA2" w:rsidP="00C90D0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24 072,2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24 922,1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25 796,7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1.1.3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«Нижнеилимская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B59FC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745185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«Нижнеилимская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t>Оплата просроченной кредиторской задолженности, сложившейся на 01.01.2018г.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«Нижнеилимская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121 774,2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962BC2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962BC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D313F1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1F7EA2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121 774,2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1F7EA2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lastRenderedPageBreak/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1F7EA2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121 318,8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1F7EA2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42425D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D" w:rsidRPr="00F73811" w:rsidRDefault="0042425D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сферы(дотации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2425D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42425D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D" w:rsidRPr="00F73811" w:rsidRDefault="0042425D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                                                                                           М.С.Романов</w:t>
      </w: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75116">
      <w:pPr>
        <w:spacing w:line="240" w:lineRule="atLeast"/>
        <w:rPr>
          <w:i/>
          <w:iCs/>
        </w:rPr>
      </w:pPr>
    </w:p>
    <w:p w:rsidR="00675116" w:rsidRDefault="00675116" w:rsidP="00675116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1B14B4" w:rsidRDefault="001B14B4" w:rsidP="001B14B4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«26» 10 . 2018г. № 985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>Развитие системы дополнительного образования в ДШИ Нижнеилимского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Задача 1: Создание условий для предоставления качественных услуг дополнительного образования детей в сфере культуры вНижнеилимском муниципальном районе.</w:t>
            </w:r>
          </w:p>
        </w:tc>
      </w:tr>
      <w:tr w:rsidR="00686913" w:rsidRPr="00F73811" w:rsidTr="00AA6F6B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МБУДО«ДШИ»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sz w:val="22"/>
                <w:szCs w:val="22"/>
                <w:lang w:eastAsia="en-US"/>
              </w:rPr>
              <w:t>дотации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C90D09" w:rsidRDefault="00C90D09" w:rsidP="008F598E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C90D09" w:rsidRDefault="00C90D09" w:rsidP="008F598E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C90D09" w:rsidRDefault="00C90D09" w:rsidP="008F598E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686913" w:rsidRPr="00F73811" w:rsidRDefault="0088214C" w:rsidP="008F598E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259 562,7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</w:t>
            </w:r>
            <w:r w:rsidRPr="00F73811">
              <w:lastRenderedPageBreak/>
              <w:t>й район»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2. Доля детей, привлекаемых к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участию в творческих мероприятиях в общем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 учащихся детских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686913" w:rsidRPr="00F73811" w:rsidRDefault="00686913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6562AA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МБУДО«ДШИ»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sz w:val="22"/>
                <w:szCs w:val="22"/>
                <w:lang w:eastAsia="en-US"/>
              </w:rPr>
              <w:t>дотации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88214C" w:rsidP="008F598E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256 724,7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88214C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36 963,9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8F598E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 w:rsidRPr="00F73811">
              <w:rPr>
                <w:sz w:val="22"/>
                <w:szCs w:val="22"/>
              </w:rPr>
              <w:t>34 696,0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34 696,0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48 409,1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50 104,8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51 854,9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МБУДО«ДШИ»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МБУДО«ДШИ»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562A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8F598E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МБУДО«ДШИ»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МБУДО«ДШИ»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88214C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259 562,7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88214C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88214C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4C" w:rsidRPr="00F73811" w:rsidRDefault="0088214C" w:rsidP="00962BC2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259 562,7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C" w:rsidRPr="00F73811" w:rsidRDefault="0088214C" w:rsidP="00962BC2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C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E869EE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258 030,1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88214C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35 923,3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E869EE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обл.бюджета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1 532,6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1 532,6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М.С.Романов</w:t>
      </w:r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1B14B4" w:rsidRDefault="001B14B4" w:rsidP="001B14B4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«26» 10 . 2018г. № 985</w:t>
      </w: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686913" w:rsidTr="00AA6F6B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«Сервисцентр»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бюджет,</w:t>
            </w:r>
            <w:r w:rsidRPr="00293772">
              <w:rPr>
                <w:sz w:val="22"/>
                <w:szCs w:val="22"/>
                <w:lang w:eastAsia="en-US"/>
              </w:rPr>
              <w:t>дотации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04" w:rsidRDefault="00780E04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Default="00B876B6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B876B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686913" w:rsidTr="00AA6F6B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«Сервисцентр»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B876B6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B876B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B876B6" w:rsidTr="00AA6F6B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B6" w:rsidRDefault="00B876B6" w:rsidP="00962BC2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962BC2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B6" w:rsidRDefault="00B876B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B6" w:rsidRDefault="00B876B6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lastRenderedPageBreak/>
              <w:t>В том числе по ответственным исполнителям и 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t>МКУ «Сервисцентр»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B32D19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B32D19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19" w:rsidRDefault="00B32D19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19" w:rsidRDefault="00B32D19" w:rsidP="00962BC2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134 828,4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962BC2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19" w:rsidRDefault="00B32D1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9" w:rsidRDefault="00B32D19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обл.бюджета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М.С.Романов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297CF1" w:rsidRDefault="00297CF1"/>
    <w:sectPr w:rsidR="00297CF1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9E" w:rsidRDefault="00A3619E" w:rsidP="002E4F3F">
      <w:r>
        <w:separator/>
      </w:r>
    </w:p>
  </w:endnote>
  <w:endnote w:type="continuationSeparator" w:id="1">
    <w:p w:rsidR="00A3619E" w:rsidRDefault="00A3619E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E" w:rsidRDefault="00521DD8">
    <w:pPr>
      <w:pStyle w:val="ac"/>
      <w:jc w:val="center"/>
    </w:pPr>
    <w:r>
      <w:fldChar w:fldCharType="begin"/>
    </w:r>
    <w:r w:rsidR="007B43AE">
      <w:instrText>PAGE   \* MERGEFORMAT</w:instrText>
    </w:r>
    <w:r>
      <w:fldChar w:fldCharType="separate"/>
    </w:r>
    <w:r w:rsidR="001B14B4">
      <w:rPr>
        <w:noProof/>
      </w:rPr>
      <w:t>2</w:t>
    </w:r>
    <w:r>
      <w:rPr>
        <w:noProof/>
      </w:rPr>
      <w:fldChar w:fldCharType="end"/>
    </w:r>
  </w:p>
  <w:p w:rsidR="007B43AE" w:rsidRDefault="007B43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9E" w:rsidRDefault="00A3619E" w:rsidP="002E4F3F">
      <w:r>
        <w:separator/>
      </w:r>
    </w:p>
  </w:footnote>
  <w:footnote w:type="continuationSeparator" w:id="1">
    <w:p w:rsidR="00A3619E" w:rsidRDefault="00A3619E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125B7"/>
    <w:rsid w:val="000243AC"/>
    <w:rsid w:val="00026097"/>
    <w:rsid w:val="0003184A"/>
    <w:rsid w:val="00051B75"/>
    <w:rsid w:val="00096851"/>
    <w:rsid w:val="000B18A2"/>
    <w:rsid w:val="000C3A6E"/>
    <w:rsid w:val="000C733A"/>
    <w:rsid w:val="000E16F3"/>
    <w:rsid w:val="00100E95"/>
    <w:rsid w:val="001234BC"/>
    <w:rsid w:val="00136A32"/>
    <w:rsid w:val="00177CFF"/>
    <w:rsid w:val="001B14B4"/>
    <w:rsid w:val="001E52EA"/>
    <w:rsid w:val="001F7EA2"/>
    <w:rsid w:val="00221A00"/>
    <w:rsid w:val="002245BA"/>
    <w:rsid w:val="00297CF1"/>
    <w:rsid w:val="002B0B2D"/>
    <w:rsid w:val="002B2A10"/>
    <w:rsid w:val="002B3B78"/>
    <w:rsid w:val="002D0EAC"/>
    <w:rsid w:val="002E4F3F"/>
    <w:rsid w:val="002F60A0"/>
    <w:rsid w:val="00320C49"/>
    <w:rsid w:val="00385B94"/>
    <w:rsid w:val="003B59AF"/>
    <w:rsid w:val="003F0C1F"/>
    <w:rsid w:val="003F1B42"/>
    <w:rsid w:val="0040363C"/>
    <w:rsid w:val="0042425D"/>
    <w:rsid w:val="00431C29"/>
    <w:rsid w:val="0045223A"/>
    <w:rsid w:val="00460691"/>
    <w:rsid w:val="00461E8F"/>
    <w:rsid w:val="004A0DA0"/>
    <w:rsid w:val="004A19E0"/>
    <w:rsid w:val="004A28B6"/>
    <w:rsid w:val="004B2B76"/>
    <w:rsid w:val="004E49CF"/>
    <w:rsid w:val="005178D1"/>
    <w:rsid w:val="00521DD8"/>
    <w:rsid w:val="00523F5A"/>
    <w:rsid w:val="00587D9A"/>
    <w:rsid w:val="0059558B"/>
    <w:rsid w:val="0063543F"/>
    <w:rsid w:val="00647A8D"/>
    <w:rsid w:val="006537DF"/>
    <w:rsid w:val="006562AA"/>
    <w:rsid w:val="00656A81"/>
    <w:rsid w:val="006570E8"/>
    <w:rsid w:val="00671862"/>
    <w:rsid w:val="00675116"/>
    <w:rsid w:val="00686913"/>
    <w:rsid w:val="00687310"/>
    <w:rsid w:val="006B14EA"/>
    <w:rsid w:val="006B4F26"/>
    <w:rsid w:val="006B59FC"/>
    <w:rsid w:val="00745185"/>
    <w:rsid w:val="00753CC5"/>
    <w:rsid w:val="00780E04"/>
    <w:rsid w:val="00793922"/>
    <w:rsid w:val="007B1D78"/>
    <w:rsid w:val="007B43AE"/>
    <w:rsid w:val="007C1273"/>
    <w:rsid w:val="0080269A"/>
    <w:rsid w:val="008174D9"/>
    <w:rsid w:val="008174FC"/>
    <w:rsid w:val="008326BA"/>
    <w:rsid w:val="00855509"/>
    <w:rsid w:val="0088214C"/>
    <w:rsid w:val="008B19F1"/>
    <w:rsid w:val="008D23DE"/>
    <w:rsid w:val="008D3DD9"/>
    <w:rsid w:val="008D7172"/>
    <w:rsid w:val="008F598E"/>
    <w:rsid w:val="00920D6B"/>
    <w:rsid w:val="009622E5"/>
    <w:rsid w:val="00964E81"/>
    <w:rsid w:val="00983465"/>
    <w:rsid w:val="00985AD2"/>
    <w:rsid w:val="009D01F9"/>
    <w:rsid w:val="009E4045"/>
    <w:rsid w:val="009F0CAF"/>
    <w:rsid w:val="00A153CB"/>
    <w:rsid w:val="00A3446B"/>
    <w:rsid w:val="00A3619E"/>
    <w:rsid w:val="00A81044"/>
    <w:rsid w:val="00AA5BF7"/>
    <w:rsid w:val="00AA6F6B"/>
    <w:rsid w:val="00B04ACF"/>
    <w:rsid w:val="00B13A23"/>
    <w:rsid w:val="00B32D19"/>
    <w:rsid w:val="00B34DB4"/>
    <w:rsid w:val="00B369A1"/>
    <w:rsid w:val="00B36D90"/>
    <w:rsid w:val="00B4657A"/>
    <w:rsid w:val="00B84959"/>
    <w:rsid w:val="00B876B6"/>
    <w:rsid w:val="00B92A79"/>
    <w:rsid w:val="00BA6A68"/>
    <w:rsid w:val="00BC4EB2"/>
    <w:rsid w:val="00BD62F1"/>
    <w:rsid w:val="00C2054F"/>
    <w:rsid w:val="00C2190F"/>
    <w:rsid w:val="00C345CD"/>
    <w:rsid w:val="00C57635"/>
    <w:rsid w:val="00C57D34"/>
    <w:rsid w:val="00C90D09"/>
    <w:rsid w:val="00CA7786"/>
    <w:rsid w:val="00CF6581"/>
    <w:rsid w:val="00D04E26"/>
    <w:rsid w:val="00D313F1"/>
    <w:rsid w:val="00D47DAD"/>
    <w:rsid w:val="00D5180E"/>
    <w:rsid w:val="00D550BC"/>
    <w:rsid w:val="00D6015C"/>
    <w:rsid w:val="00D62DD8"/>
    <w:rsid w:val="00D73F3F"/>
    <w:rsid w:val="00D920A0"/>
    <w:rsid w:val="00D93156"/>
    <w:rsid w:val="00DC03BF"/>
    <w:rsid w:val="00DE2A77"/>
    <w:rsid w:val="00DF1BE2"/>
    <w:rsid w:val="00DF2CC9"/>
    <w:rsid w:val="00E13802"/>
    <w:rsid w:val="00E507E7"/>
    <w:rsid w:val="00E61E1A"/>
    <w:rsid w:val="00E869EE"/>
    <w:rsid w:val="00EA51C9"/>
    <w:rsid w:val="00F45C1C"/>
    <w:rsid w:val="00F61D79"/>
    <w:rsid w:val="00F706C0"/>
    <w:rsid w:val="00F73811"/>
    <w:rsid w:val="00F9119F"/>
    <w:rsid w:val="00F93F07"/>
    <w:rsid w:val="00FA5409"/>
    <w:rsid w:val="00FA7724"/>
    <w:rsid w:val="00FB18D2"/>
    <w:rsid w:val="00FD0835"/>
    <w:rsid w:val="00FE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22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76</cp:revision>
  <cp:lastPrinted>2018-07-19T03:58:00Z</cp:lastPrinted>
  <dcterms:created xsi:type="dcterms:W3CDTF">2017-11-07T06:22:00Z</dcterms:created>
  <dcterms:modified xsi:type="dcterms:W3CDTF">2018-10-29T07:31:00Z</dcterms:modified>
</cp:coreProperties>
</file>