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C17813" w:rsidRPr="00B2789E" w:rsidTr="0071708E">
        <w:tc>
          <w:tcPr>
            <w:tcW w:w="9570" w:type="dxa"/>
          </w:tcPr>
          <w:p w:rsidR="00C17813" w:rsidRDefault="00C17813" w:rsidP="0071708E">
            <w:pPr>
              <w:pStyle w:val="1"/>
              <w:rPr>
                <w:rFonts w:cs="Arial"/>
              </w:rPr>
            </w:pPr>
            <w:r>
              <w:rPr>
                <w:noProof/>
              </w:rPr>
              <w:drawing>
                <wp:inline distT="0" distB="0" distL="0" distR="0">
                  <wp:extent cx="542925" cy="685800"/>
                  <wp:effectExtent l="19050" t="0" r="9525"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C17813" w:rsidRPr="00B2789E" w:rsidTr="0071708E">
        <w:tc>
          <w:tcPr>
            <w:tcW w:w="9570" w:type="dxa"/>
          </w:tcPr>
          <w:p w:rsidR="00C17813" w:rsidRPr="00F77417" w:rsidRDefault="00C17813" w:rsidP="0071708E">
            <w:pPr>
              <w:jc w:val="center"/>
              <w:rPr>
                <w:sz w:val="28"/>
                <w:szCs w:val="28"/>
              </w:rPr>
            </w:pPr>
            <w:r w:rsidRPr="00F77417">
              <w:rPr>
                <w:rFonts w:ascii="Tahoma" w:hAnsi="Tahoma" w:cs="Tahoma"/>
                <w:sz w:val="28"/>
                <w:szCs w:val="28"/>
              </w:rPr>
              <w:t>РОССИЙСКАЯ ФЕДЕРАЦИЯ</w:t>
            </w:r>
          </w:p>
        </w:tc>
      </w:tr>
      <w:tr w:rsidR="00C17813" w:rsidRPr="00B2789E" w:rsidTr="0071708E">
        <w:tc>
          <w:tcPr>
            <w:tcW w:w="9570" w:type="dxa"/>
          </w:tcPr>
          <w:p w:rsidR="00C17813" w:rsidRPr="00B61CE0" w:rsidRDefault="00C17813" w:rsidP="0071708E">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rsidR="00C17813" w:rsidRDefault="00C17813" w:rsidP="0071708E">
            <w:pPr>
              <w:jc w:val="center"/>
              <w:rPr>
                <w:rFonts w:ascii="Arial" w:hAnsi="Arial" w:cs="Arial"/>
                <w:b/>
                <w:sz w:val="28"/>
              </w:rPr>
            </w:pPr>
            <w:r>
              <w:rPr>
                <w:rFonts w:ascii="Arial" w:hAnsi="Arial" w:cs="Arial"/>
                <w:b/>
                <w:sz w:val="28"/>
              </w:rPr>
              <w:t>АДМИНИСТРАЦИЯ</w:t>
            </w:r>
          </w:p>
          <w:p w:rsidR="00C17813" w:rsidRPr="00B61CE0" w:rsidRDefault="00C17813" w:rsidP="0071708E">
            <w:pPr>
              <w:jc w:val="center"/>
              <w:rPr>
                <w:rFonts w:ascii="Arial" w:hAnsi="Arial" w:cs="Arial"/>
                <w:b/>
                <w:sz w:val="28"/>
              </w:rPr>
            </w:pPr>
          </w:p>
          <w:p w:rsidR="00C17813" w:rsidRPr="008309E0" w:rsidRDefault="00C17813" w:rsidP="0071708E">
            <w:pPr>
              <w:jc w:val="center"/>
              <w:rPr>
                <w:rFonts w:ascii="Arial" w:hAnsi="Arial" w:cs="Arial"/>
                <w:b/>
                <w:sz w:val="10"/>
                <w:szCs w:val="10"/>
              </w:rPr>
            </w:pPr>
          </w:p>
          <w:p w:rsidR="00C17813" w:rsidRPr="00387D6B" w:rsidRDefault="00C17813" w:rsidP="0071708E">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rsidR="00C17813" w:rsidRPr="008309E0" w:rsidRDefault="00C17813" w:rsidP="0071708E">
            <w:pPr>
              <w:jc w:val="center"/>
              <w:rPr>
                <w:sz w:val="16"/>
                <w:szCs w:val="16"/>
              </w:rPr>
            </w:pPr>
          </w:p>
        </w:tc>
      </w:tr>
    </w:tbl>
    <w:p w:rsidR="00C17813" w:rsidRPr="00B2789E" w:rsidRDefault="00C17813" w:rsidP="00C17813">
      <w:pPr>
        <w:rPr>
          <w:sz w:val="10"/>
        </w:rPr>
      </w:pPr>
    </w:p>
    <w:tbl>
      <w:tblPr>
        <w:tblW w:w="9464" w:type="dxa"/>
        <w:tblLayout w:type="fixed"/>
        <w:tblLook w:val="0000" w:firstRow="0" w:lastRow="0" w:firstColumn="0" w:lastColumn="0" w:noHBand="0" w:noVBand="0"/>
      </w:tblPr>
      <w:tblGrid>
        <w:gridCol w:w="4785"/>
        <w:gridCol w:w="4679"/>
      </w:tblGrid>
      <w:tr w:rsidR="00C17813" w:rsidRPr="00B56281" w:rsidTr="00B56281">
        <w:tc>
          <w:tcPr>
            <w:tcW w:w="4785" w:type="dxa"/>
          </w:tcPr>
          <w:p w:rsidR="00C17813" w:rsidRPr="00B56281" w:rsidRDefault="00B56281" w:rsidP="0071708E">
            <w:pPr>
              <w:rPr>
                <w:b/>
              </w:rPr>
            </w:pPr>
            <w:r w:rsidRPr="00B56281">
              <w:rPr>
                <w:b/>
              </w:rPr>
              <w:t>26.03.2020</w:t>
            </w:r>
          </w:p>
        </w:tc>
        <w:tc>
          <w:tcPr>
            <w:tcW w:w="4679" w:type="dxa"/>
          </w:tcPr>
          <w:p w:rsidR="00C17813" w:rsidRPr="00B56281" w:rsidRDefault="00B56281" w:rsidP="00673070">
            <w:pPr>
              <w:jc w:val="right"/>
              <w:rPr>
                <w:b/>
              </w:rPr>
            </w:pPr>
            <w:r w:rsidRPr="00B56281">
              <w:rPr>
                <w:b/>
              </w:rPr>
              <w:t>№ 186-п</w:t>
            </w:r>
          </w:p>
        </w:tc>
      </w:tr>
      <w:tr w:rsidR="00C17813" w:rsidRPr="00B2789E" w:rsidTr="00B56281">
        <w:tc>
          <w:tcPr>
            <w:tcW w:w="9464" w:type="dxa"/>
            <w:gridSpan w:val="2"/>
          </w:tcPr>
          <w:p w:rsidR="00C17813" w:rsidRDefault="00C17813" w:rsidP="0071708E">
            <w:pPr>
              <w:jc w:val="center"/>
            </w:pPr>
          </w:p>
          <w:p w:rsidR="00C17813" w:rsidRPr="00DB41C4" w:rsidRDefault="00C17813" w:rsidP="0071708E">
            <w:pPr>
              <w:jc w:val="center"/>
              <w:rPr>
                <w:b/>
                <w:sz w:val="20"/>
                <w:szCs w:val="20"/>
              </w:rPr>
            </w:pPr>
            <w:r w:rsidRPr="00DB41C4">
              <w:rPr>
                <w:sz w:val="20"/>
                <w:szCs w:val="20"/>
              </w:rPr>
              <w:t xml:space="preserve"> Черемхово</w:t>
            </w:r>
          </w:p>
        </w:tc>
      </w:tr>
    </w:tbl>
    <w:p w:rsidR="00C17813" w:rsidRPr="00B2789E" w:rsidRDefault="00C17813" w:rsidP="00C17813">
      <w:pPr>
        <w:rPr>
          <w:sz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17813" w:rsidRPr="00B2789E" w:rsidTr="00B56281">
        <w:tc>
          <w:tcPr>
            <w:tcW w:w="9464" w:type="dxa"/>
            <w:tcBorders>
              <w:top w:val="nil"/>
              <w:left w:val="nil"/>
              <w:bottom w:val="nil"/>
              <w:right w:val="nil"/>
            </w:tcBorders>
          </w:tcPr>
          <w:p w:rsidR="00C17813" w:rsidRPr="00B2789E" w:rsidRDefault="00C17813" w:rsidP="006B4555">
            <w:pPr>
              <w:jc w:val="center"/>
            </w:pPr>
            <w:r w:rsidRPr="00206DCD">
              <w:rPr>
                <w:b/>
              </w:rPr>
              <w:t xml:space="preserve">Об </w:t>
            </w:r>
            <w:r w:rsidR="00410894" w:rsidRPr="00E029B8">
              <w:rPr>
                <w:b/>
              </w:rPr>
              <w:t xml:space="preserve">утверждении </w:t>
            </w:r>
            <w:r w:rsidR="006B4555">
              <w:rPr>
                <w:b/>
              </w:rPr>
              <w:t xml:space="preserve">Перечня товарных рынков для содействия развитию конкуренции на территории Черемховского районного муниципального образования  и Плана мероприятий («дорожной карты») по содействию развитию конкуренции на территории Черемховского районного муниципального образования на 2019-2022 годы </w:t>
            </w:r>
          </w:p>
        </w:tc>
      </w:tr>
    </w:tbl>
    <w:p w:rsidR="003173BA" w:rsidRPr="003173BA" w:rsidRDefault="003173BA" w:rsidP="00C17813">
      <w:pPr>
        <w:jc w:val="center"/>
        <w:rPr>
          <w:sz w:val="28"/>
          <w:szCs w:val="28"/>
        </w:rPr>
      </w:pPr>
    </w:p>
    <w:p w:rsidR="00C17813" w:rsidRPr="008A78C9" w:rsidRDefault="007435AE" w:rsidP="00B56281">
      <w:pPr>
        <w:ind w:firstLine="708"/>
        <w:jc w:val="both"/>
        <w:rPr>
          <w:sz w:val="28"/>
          <w:szCs w:val="28"/>
        </w:rPr>
      </w:pPr>
      <w:r w:rsidRPr="007435AE">
        <w:rPr>
          <w:sz w:val="28"/>
          <w:szCs w:val="28"/>
        </w:rPr>
        <w:t>В целях создания условий для содействия развитию конкуренции на тов</w:t>
      </w:r>
      <w:r>
        <w:rPr>
          <w:sz w:val="28"/>
          <w:szCs w:val="28"/>
        </w:rPr>
        <w:t>арных рынках в Черемховском районном муниципальном образовании, р</w:t>
      </w:r>
      <w:r w:rsidR="006B4555" w:rsidRPr="006B4555">
        <w:rPr>
          <w:sz w:val="28"/>
          <w:szCs w:val="28"/>
        </w:rPr>
        <w:t>уководствуясь распоряжением Правительства Российской Федерации</w:t>
      </w:r>
      <w:r w:rsidR="006B4555">
        <w:rPr>
          <w:sz w:val="28"/>
          <w:szCs w:val="28"/>
        </w:rPr>
        <w:t xml:space="preserve"> </w:t>
      </w:r>
      <w:r w:rsidR="006B4555" w:rsidRPr="006B4555">
        <w:rPr>
          <w:sz w:val="28"/>
          <w:szCs w:val="28"/>
        </w:rPr>
        <w:t>№768-р от 17 апреля 2019 г</w:t>
      </w:r>
      <w:r w:rsidR="006B4555">
        <w:rPr>
          <w:sz w:val="28"/>
          <w:szCs w:val="28"/>
        </w:rPr>
        <w:t>ода</w:t>
      </w:r>
      <w:r w:rsidR="006B4555" w:rsidRPr="006B4555">
        <w:rPr>
          <w:sz w:val="28"/>
          <w:szCs w:val="28"/>
        </w:rPr>
        <w:t xml:space="preserve"> «Об утверждении стандарта развития конкуренции в</w:t>
      </w:r>
      <w:r w:rsidR="006B4555">
        <w:rPr>
          <w:sz w:val="28"/>
          <w:szCs w:val="28"/>
        </w:rPr>
        <w:t xml:space="preserve"> </w:t>
      </w:r>
      <w:r w:rsidR="006B4555" w:rsidRPr="006B4555">
        <w:rPr>
          <w:sz w:val="28"/>
          <w:szCs w:val="28"/>
        </w:rPr>
        <w:t>субъектах Российской Федерации»</w:t>
      </w:r>
      <w:r w:rsidR="00C17813">
        <w:rPr>
          <w:sz w:val="28"/>
          <w:szCs w:val="28"/>
        </w:rPr>
        <w:t>,</w:t>
      </w:r>
      <w:r>
        <w:rPr>
          <w:sz w:val="28"/>
          <w:szCs w:val="28"/>
        </w:rPr>
        <w:t xml:space="preserve"> </w:t>
      </w:r>
      <w:r w:rsidR="006B4555">
        <w:rPr>
          <w:sz w:val="28"/>
          <w:szCs w:val="28"/>
        </w:rPr>
        <w:t>распоряжением Губернатора Иркутской области №108-р от 24 октября 2019 года «Об утверждении Перечня товарных рынков для содействия развитию конкуренции в Иркутской области»,</w:t>
      </w:r>
      <w:r w:rsidR="00C17813">
        <w:rPr>
          <w:sz w:val="28"/>
          <w:szCs w:val="28"/>
        </w:rPr>
        <w:t xml:space="preserve"> р</w:t>
      </w:r>
      <w:r w:rsidR="00C17813" w:rsidRPr="008A78C9">
        <w:rPr>
          <w:sz w:val="28"/>
          <w:szCs w:val="28"/>
        </w:rPr>
        <w:t>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rsidR="00C17813" w:rsidRDefault="00C17813" w:rsidP="00B56281">
      <w:pPr>
        <w:ind w:firstLine="708"/>
        <w:jc w:val="both"/>
        <w:rPr>
          <w:sz w:val="28"/>
          <w:szCs w:val="28"/>
        </w:rPr>
      </w:pPr>
    </w:p>
    <w:p w:rsidR="00C17813" w:rsidRPr="00F77417" w:rsidRDefault="00C17813" w:rsidP="00C17813">
      <w:pPr>
        <w:jc w:val="center"/>
        <w:rPr>
          <w:b/>
          <w:sz w:val="28"/>
          <w:szCs w:val="28"/>
        </w:rPr>
      </w:pPr>
      <w:r w:rsidRPr="00F77417">
        <w:rPr>
          <w:sz w:val="28"/>
          <w:szCs w:val="28"/>
        </w:rPr>
        <w:t>ПОСТАНОВЛЯЕТ</w:t>
      </w:r>
      <w:r w:rsidRPr="00F77417">
        <w:rPr>
          <w:b/>
          <w:sz w:val="28"/>
          <w:szCs w:val="28"/>
        </w:rPr>
        <w:t>:</w:t>
      </w:r>
    </w:p>
    <w:p w:rsidR="00C17813" w:rsidRPr="003E1DC3" w:rsidRDefault="00C17813" w:rsidP="00B56281">
      <w:pPr>
        <w:ind w:firstLine="709"/>
        <w:jc w:val="center"/>
        <w:rPr>
          <w:sz w:val="16"/>
          <w:szCs w:val="16"/>
        </w:rPr>
      </w:pPr>
    </w:p>
    <w:p w:rsidR="00C17813" w:rsidRDefault="00C17813" w:rsidP="00B56281">
      <w:pPr>
        <w:pStyle w:val="a5"/>
        <w:tabs>
          <w:tab w:val="left" w:pos="1134"/>
        </w:tabs>
        <w:ind w:right="1" w:firstLine="709"/>
        <w:rPr>
          <w:szCs w:val="28"/>
        </w:rPr>
      </w:pPr>
      <w:r w:rsidRPr="008A78C9">
        <w:rPr>
          <w:szCs w:val="28"/>
        </w:rPr>
        <w:t>1.</w:t>
      </w:r>
      <w:r>
        <w:rPr>
          <w:szCs w:val="28"/>
        </w:rPr>
        <w:tab/>
      </w:r>
      <w:r w:rsidR="004E5140">
        <w:rPr>
          <w:szCs w:val="28"/>
        </w:rPr>
        <w:t xml:space="preserve">Утвердить </w:t>
      </w:r>
      <w:r w:rsidR="006B4555" w:rsidRPr="006B4555">
        <w:rPr>
          <w:szCs w:val="28"/>
        </w:rPr>
        <w:t>Переч</w:t>
      </w:r>
      <w:r w:rsidR="006B4555">
        <w:rPr>
          <w:szCs w:val="28"/>
        </w:rPr>
        <w:t>е</w:t>
      </w:r>
      <w:r w:rsidR="006B4555" w:rsidRPr="006B4555">
        <w:rPr>
          <w:szCs w:val="28"/>
        </w:rPr>
        <w:t>н</w:t>
      </w:r>
      <w:r w:rsidR="006B4555">
        <w:rPr>
          <w:szCs w:val="28"/>
        </w:rPr>
        <w:t>ь</w:t>
      </w:r>
      <w:r w:rsidR="006B4555" w:rsidRPr="006B4555">
        <w:rPr>
          <w:szCs w:val="28"/>
        </w:rPr>
        <w:t xml:space="preserve"> товарных рынков для содействия развитию конкуренции на территории Черемховского районного муниципального образования  </w:t>
      </w:r>
      <w:r>
        <w:rPr>
          <w:szCs w:val="28"/>
        </w:rPr>
        <w:t>(</w:t>
      </w:r>
      <w:r w:rsidR="006B4555">
        <w:rPr>
          <w:szCs w:val="28"/>
        </w:rPr>
        <w:t>Приложение № 1</w:t>
      </w:r>
      <w:r>
        <w:rPr>
          <w:szCs w:val="28"/>
        </w:rPr>
        <w:t>)</w:t>
      </w:r>
      <w:r w:rsidRPr="00206DCD">
        <w:rPr>
          <w:szCs w:val="28"/>
        </w:rPr>
        <w:t>.</w:t>
      </w:r>
    </w:p>
    <w:p w:rsidR="006B4555" w:rsidRPr="00206DCD" w:rsidRDefault="006B4555" w:rsidP="00B56281">
      <w:pPr>
        <w:pStyle w:val="a5"/>
        <w:tabs>
          <w:tab w:val="left" w:pos="1134"/>
        </w:tabs>
        <w:ind w:right="1" w:firstLine="709"/>
        <w:rPr>
          <w:szCs w:val="28"/>
        </w:rPr>
      </w:pPr>
      <w:r>
        <w:rPr>
          <w:szCs w:val="28"/>
        </w:rPr>
        <w:t>2. Утвердить План</w:t>
      </w:r>
      <w:r w:rsidRPr="006B4555">
        <w:rPr>
          <w:szCs w:val="28"/>
        </w:rPr>
        <w:t xml:space="preserve"> мероприятий («дорожн</w:t>
      </w:r>
      <w:r>
        <w:rPr>
          <w:szCs w:val="28"/>
        </w:rPr>
        <w:t>ую</w:t>
      </w:r>
      <w:r w:rsidRPr="006B4555">
        <w:rPr>
          <w:szCs w:val="28"/>
        </w:rPr>
        <w:t xml:space="preserve"> карт</w:t>
      </w:r>
      <w:r>
        <w:rPr>
          <w:szCs w:val="28"/>
        </w:rPr>
        <w:t>у</w:t>
      </w:r>
      <w:r w:rsidRPr="006B4555">
        <w:rPr>
          <w:szCs w:val="28"/>
        </w:rPr>
        <w:t>») по содействию развити</w:t>
      </w:r>
      <w:r>
        <w:rPr>
          <w:szCs w:val="28"/>
        </w:rPr>
        <w:t>ю</w:t>
      </w:r>
      <w:r w:rsidRPr="006B4555">
        <w:rPr>
          <w:szCs w:val="28"/>
        </w:rPr>
        <w:t xml:space="preserve"> конкуренции на территории Черемховского районн</w:t>
      </w:r>
      <w:r>
        <w:rPr>
          <w:szCs w:val="28"/>
        </w:rPr>
        <w:t xml:space="preserve">ого муниципального образования </w:t>
      </w:r>
      <w:r w:rsidRPr="006B4555">
        <w:rPr>
          <w:szCs w:val="28"/>
        </w:rPr>
        <w:t>на 2019-2022 годы</w:t>
      </w:r>
      <w:r>
        <w:rPr>
          <w:szCs w:val="28"/>
        </w:rPr>
        <w:t xml:space="preserve"> (Приложение № 2)</w:t>
      </w:r>
    </w:p>
    <w:p w:rsidR="00C17813" w:rsidRPr="00C17813" w:rsidRDefault="00C17813" w:rsidP="00B56281">
      <w:pPr>
        <w:pStyle w:val="a5"/>
        <w:tabs>
          <w:tab w:val="left" w:pos="1134"/>
        </w:tabs>
        <w:ind w:firstLine="709"/>
        <w:rPr>
          <w:szCs w:val="28"/>
        </w:rPr>
      </w:pPr>
      <w:r w:rsidRPr="008A78C9">
        <w:rPr>
          <w:szCs w:val="28"/>
        </w:rPr>
        <w:t>2.</w:t>
      </w:r>
      <w:r>
        <w:rPr>
          <w:szCs w:val="28"/>
        </w:rPr>
        <w:tab/>
      </w:r>
      <w:r w:rsidRPr="008A78C9">
        <w:rPr>
          <w:szCs w:val="28"/>
        </w:rPr>
        <w:t>Отделу организационной работы (</w:t>
      </w:r>
      <w:r w:rsidR="006B4555">
        <w:rPr>
          <w:szCs w:val="28"/>
        </w:rPr>
        <w:t>Коломеец Ю.А.</w:t>
      </w:r>
      <w:r w:rsidR="00DC1A73">
        <w:rPr>
          <w:szCs w:val="28"/>
        </w:rPr>
        <w:t>) направить</w:t>
      </w:r>
      <w:r w:rsidRPr="008A78C9">
        <w:rPr>
          <w:szCs w:val="28"/>
        </w:rPr>
        <w:t xml:space="preserve"> настоящее постановление </w:t>
      </w:r>
      <w:r w:rsidR="00DC1A73">
        <w:rPr>
          <w:szCs w:val="28"/>
        </w:rPr>
        <w:t xml:space="preserve">для опубликования </w:t>
      </w:r>
      <w:r w:rsidRPr="008A78C9">
        <w:rPr>
          <w:szCs w:val="28"/>
        </w:rPr>
        <w:t>в газете «Мое село, край Черемховский» и разместить на официальном сайте Черемховского районного муниципального образования</w:t>
      </w:r>
      <w:r>
        <w:rPr>
          <w:szCs w:val="28"/>
        </w:rPr>
        <w:t xml:space="preserve"> </w:t>
      </w:r>
      <w:r w:rsidRPr="00C17813">
        <w:rPr>
          <w:szCs w:val="28"/>
          <w:lang w:val="en-US"/>
        </w:rPr>
        <w:t>cher</w:t>
      </w:r>
      <w:r w:rsidRPr="00C17813">
        <w:rPr>
          <w:szCs w:val="28"/>
        </w:rPr>
        <w:t>.</w:t>
      </w:r>
      <w:r w:rsidRPr="00C17813">
        <w:rPr>
          <w:szCs w:val="28"/>
          <w:lang w:val="en-US"/>
        </w:rPr>
        <w:t>irkobl</w:t>
      </w:r>
      <w:r w:rsidRPr="00C17813">
        <w:rPr>
          <w:szCs w:val="28"/>
        </w:rPr>
        <w:t>.</w:t>
      </w:r>
      <w:r w:rsidRPr="00C17813">
        <w:rPr>
          <w:szCs w:val="28"/>
          <w:lang w:val="en-US"/>
        </w:rPr>
        <w:t>ru</w:t>
      </w:r>
      <w:r>
        <w:rPr>
          <w:szCs w:val="28"/>
        </w:rPr>
        <w:t xml:space="preserve"> в информационно-</w:t>
      </w:r>
      <w:r w:rsidRPr="008A78C9">
        <w:rPr>
          <w:szCs w:val="28"/>
        </w:rPr>
        <w:t>телекоммуникационной сети «Интернет»</w:t>
      </w:r>
      <w:r>
        <w:rPr>
          <w:szCs w:val="28"/>
        </w:rPr>
        <w:t>.</w:t>
      </w:r>
    </w:p>
    <w:p w:rsidR="00C17813" w:rsidRDefault="00C17813" w:rsidP="00B56281">
      <w:pPr>
        <w:pStyle w:val="a5"/>
        <w:tabs>
          <w:tab w:val="left" w:pos="1134"/>
        </w:tabs>
        <w:ind w:firstLine="709"/>
        <w:rPr>
          <w:szCs w:val="28"/>
        </w:rPr>
      </w:pPr>
      <w:r>
        <w:rPr>
          <w:szCs w:val="28"/>
        </w:rPr>
        <w:t>3.</w:t>
      </w:r>
      <w:r>
        <w:rPr>
          <w:szCs w:val="28"/>
        </w:rPr>
        <w:tab/>
      </w:r>
      <w:r w:rsidRPr="008A78C9">
        <w:rPr>
          <w:szCs w:val="28"/>
        </w:rPr>
        <w:t xml:space="preserve">Контроль за исполнением настоящего постановления возложить на первого заместителя мэра </w:t>
      </w:r>
      <w:r w:rsidR="004150D9">
        <w:rPr>
          <w:szCs w:val="28"/>
        </w:rPr>
        <w:t>Артёмова</w:t>
      </w:r>
      <w:r w:rsidR="007435AE" w:rsidRPr="007435AE">
        <w:rPr>
          <w:szCs w:val="28"/>
        </w:rPr>
        <w:t xml:space="preserve"> </w:t>
      </w:r>
      <w:r w:rsidR="007435AE">
        <w:rPr>
          <w:szCs w:val="28"/>
        </w:rPr>
        <w:t>Е.А</w:t>
      </w:r>
      <w:r w:rsidRPr="008A78C9">
        <w:rPr>
          <w:szCs w:val="28"/>
        </w:rPr>
        <w:t>.</w:t>
      </w:r>
    </w:p>
    <w:p w:rsidR="002F01B2" w:rsidRDefault="002F01B2" w:rsidP="00092B73">
      <w:pPr>
        <w:rPr>
          <w:sz w:val="28"/>
          <w:szCs w:val="28"/>
        </w:rPr>
      </w:pPr>
    </w:p>
    <w:p w:rsidR="00B56281" w:rsidRDefault="00B56281" w:rsidP="00092B73">
      <w:pPr>
        <w:rPr>
          <w:sz w:val="28"/>
          <w:szCs w:val="28"/>
        </w:rPr>
      </w:pPr>
    </w:p>
    <w:p w:rsidR="00537E3F" w:rsidRDefault="00B56281" w:rsidP="00092B73">
      <w:pPr>
        <w:rPr>
          <w:sz w:val="28"/>
          <w:szCs w:val="28"/>
        </w:rPr>
      </w:pPr>
      <w:r>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sidR="00C17813" w:rsidRPr="008A78C9">
        <w:rPr>
          <w:sz w:val="28"/>
          <w:szCs w:val="28"/>
        </w:rPr>
        <w:tab/>
      </w:r>
      <w:r w:rsidR="00386793">
        <w:rPr>
          <w:sz w:val="27"/>
          <w:szCs w:val="27"/>
        </w:rPr>
        <w:tab/>
      </w:r>
      <w:r w:rsidR="00386793">
        <w:rPr>
          <w:sz w:val="27"/>
          <w:szCs w:val="27"/>
        </w:rPr>
        <w:tab/>
      </w:r>
      <w:r w:rsidR="00386793">
        <w:rPr>
          <w:sz w:val="27"/>
          <w:szCs w:val="27"/>
        </w:rPr>
        <w:tab/>
      </w:r>
      <w:r w:rsidR="00386793">
        <w:rPr>
          <w:sz w:val="27"/>
          <w:szCs w:val="27"/>
        </w:rPr>
        <w:tab/>
      </w:r>
      <w:r w:rsidR="004150D9" w:rsidRPr="005254A1">
        <w:rPr>
          <w:sz w:val="28"/>
          <w:szCs w:val="28"/>
        </w:rPr>
        <w:t>С.В. Марач</w:t>
      </w:r>
    </w:p>
    <w:p w:rsidR="00B56281" w:rsidRDefault="00B56281" w:rsidP="00092B73">
      <w:pPr>
        <w:rPr>
          <w:sz w:val="28"/>
          <w:szCs w:val="28"/>
        </w:rPr>
        <w:sectPr w:rsidR="00B56281" w:rsidSect="00B56281">
          <w:pgSz w:w="11906" w:h="16838"/>
          <w:pgMar w:top="1134" w:right="850" w:bottom="709" w:left="1701" w:header="709" w:footer="709" w:gutter="0"/>
          <w:cols w:space="708"/>
          <w:docGrid w:linePitch="360"/>
        </w:sectPr>
      </w:pPr>
    </w:p>
    <w:p w:rsidR="005254A1" w:rsidRDefault="005254A1" w:rsidP="00B56281">
      <w:pPr>
        <w:shd w:val="clear" w:color="auto" w:fill="FFFFFF"/>
        <w:autoSpaceDE w:val="0"/>
        <w:autoSpaceDN w:val="0"/>
        <w:adjustRightInd w:val="0"/>
        <w:ind w:left="10065"/>
        <w:rPr>
          <w:color w:val="000000"/>
        </w:rPr>
      </w:pPr>
      <w:r w:rsidRPr="00D339FF">
        <w:rPr>
          <w:color w:val="000000"/>
        </w:rPr>
        <w:lastRenderedPageBreak/>
        <w:t>Приложение</w:t>
      </w:r>
      <w:r>
        <w:rPr>
          <w:color w:val="000000"/>
        </w:rPr>
        <w:t xml:space="preserve"> № 1</w:t>
      </w:r>
      <w:r w:rsidRPr="00D339FF">
        <w:rPr>
          <w:color w:val="000000"/>
        </w:rPr>
        <w:t xml:space="preserve"> к постановлению </w:t>
      </w:r>
    </w:p>
    <w:p w:rsidR="005254A1" w:rsidRPr="00D339FF" w:rsidRDefault="005254A1" w:rsidP="00B56281">
      <w:pPr>
        <w:shd w:val="clear" w:color="auto" w:fill="FFFFFF"/>
        <w:autoSpaceDE w:val="0"/>
        <w:autoSpaceDN w:val="0"/>
        <w:adjustRightInd w:val="0"/>
        <w:ind w:left="10065"/>
        <w:rPr>
          <w:color w:val="000000"/>
        </w:rPr>
      </w:pPr>
      <w:r w:rsidRPr="00D339FF">
        <w:rPr>
          <w:color w:val="000000"/>
        </w:rPr>
        <w:t xml:space="preserve">администрации Черемховского районного </w:t>
      </w:r>
    </w:p>
    <w:p w:rsidR="005254A1" w:rsidRPr="00D339FF" w:rsidRDefault="005254A1" w:rsidP="00B56281">
      <w:pPr>
        <w:shd w:val="clear" w:color="auto" w:fill="FFFFFF"/>
        <w:autoSpaceDE w:val="0"/>
        <w:autoSpaceDN w:val="0"/>
        <w:adjustRightInd w:val="0"/>
        <w:ind w:left="10065"/>
        <w:rPr>
          <w:color w:val="000000"/>
        </w:rPr>
      </w:pPr>
      <w:r w:rsidRPr="00D339FF">
        <w:rPr>
          <w:color w:val="000000"/>
        </w:rPr>
        <w:t>муниципального образования</w:t>
      </w:r>
    </w:p>
    <w:p w:rsidR="005254A1" w:rsidRPr="00D339FF" w:rsidRDefault="00B56281" w:rsidP="00B56281">
      <w:pPr>
        <w:ind w:left="10065"/>
        <w:rPr>
          <w:sz w:val="28"/>
          <w:szCs w:val="28"/>
        </w:rPr>
      </w:pPr>
      <w:r>
        <w:rPr>
          <w:color w:val="000000"/>
        </w:rPr>
        <w:t>от 26.03.2020 № 186-п</w:t>
      </w:r>
    </w:p>
    <w:p w:rsidR="00B56281" w:rsidRPr="00A74893" w:rsidRDefault="00B56281" w:rsidP="005254A1">
      <w:pPr>
        <w:jc w:val="center"/>
        <w:rPr>
          <w:sz w:val="28"/>
          <w:szCs w:val="28"/>
        </w:rPr>
      </w:pPr>
    </w:p>
    <w:p w:rsidR="005254A1" w:rsidRPr="00A74893" w:rsidRDefault="005254A1" w:rsidP="005254A1">
      <w:pPr>
        <w:jc w:val="center"/>
        <w:rPr>
          <w:sz w:val="28"/>
          <w:szCs w:val="28"/>
        </w:rPr>
      </w:pPr>
      <w:r w:rsidRPr="00A74893">
        <w:rPr>
          <w:sz w:val="28"/>
          <w:szCs w:val="28"/>
        </w:rPr>
        <w:t>ПЕРЕЧЕНЬ</w:t>
      </w:r>
    </w:p>
    <w:p w:rsidR="005254A1" w:rsidRPr="00A74893" w:rsidRDefault="005254A1" w:rsidP="005254A1">
      <w:pPr>
        <w:jc w:val="center"/>
        <w:rPr>
          <w:sz w:val="28"/>
          <w:szCs w:val="28"/>
        </w:rPr>
      </w:pPr>
      <w:r w:rsidRPr="00A74893">
        <w:rPr>
          <w:sz w:val="28"/>
          <w:szCs w:val="28"/>
        </w:rPr>
        <w:t>ТОВАРНЫХ РЫНКОВ ДЛЯ СОДЕЙСТВИЯ РАЗВИТИЮ КОНКУРЕНЦИИ НА ТЕРРИТОРИИ ЧЕРЕМХОВСКОГО РАЙОННОГО МУНИЦИПАЛЬНОГО ОБРАЗОВАНИЯ НА 2019-2022 ГОДЫ</w:t>
      </w:r>
    </w:p>
    <w:p w:rsidR="005254A1" w:rsidRPr="00A74893" w:rsidRDefault="005254A1" w:rsidP="005254A1">
      <w:pPr>
        <w:jc w:val="center"/>
        <w:rPr>
          <w:szCs w:val="26"/>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2"/>
        <w:gridCol w:w="3515"/>
        <w:gridCol w:w="5173"/>
        <w:gridCol w:w="1942"/>
        <w:gridCol w:w="1737"/>
        <w:gridCol w:w="2845"/>
      </w:tblGrid>
      <w:tr w:rsidR="005254A1" w:rsidRPr="00A74893" w:rsidTr="00117DE9">
        <w:trPr>
          <w:tblHeader/>
        </w:trPr>
        <w:tc>
          <w:tcPr>
            <w:tcW w:w="166"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 п/п</w:t>
            </w:r>
          </w:p>
        </w:tc>
        <w:tc>
          <w:tcPr>
            <w:tcW w:w="1117"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Наименование товарного рынка</w:t>
            </w:r>
          </w:p>
        </w:tc>
        <w:tc>
          <w:tcPr>
            <w:tcW w:w="1644"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Наименование ключевого показателя</w:t>
            </w:r>
          </w:p>
        </w:tc>
        <w:tc>
          <w:tcPr>
            <w:tcW w:w="617"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Значение ключевого показателя по состоянию на 01.01.2019 года</w:t>
            </w:r>
          </w:p>
        </w:tc>
        <w:tc>
          <w:tcPr>
            <w:tcW w:w="552"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Минимальное значение ключевого показателя к 01.01.2022 года</w:t>
            </w:r>
          </w:p>
        </w:tc>
        <w:tc>
          <w:tcPr>
            <w:tcW w:w="904"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Ответственный исполнитель</w:t>
            </w:r>
          </w:p>
        </w:tc>
      </w:tr>
      <w:tr w:rsidR="005254A1" w:rsidRPr="00A74893" w:rsidTr="00117DE9">
        <w:tc>
          <w:tcPr>
            <w:tcW w:w="166" w:type="pct"/>
            <w:vMerge w:val="restart"/>
          </w:tcPr>
          <w:p w:rsidR="005254A1" w:rsidRPr="00A74893" w:rsidRDefault="005254A1" w:rsidP="005254A1">
            <w:pPr>
              <w:pStyle w:val="ConsPlusNormal"/>
              <w:jc w:val="center"/>
              <w:rPr>
                <w:rFonts w:ascii="Times New Roman" w:hAnsi="Times New Roman" w:cs="Times New Roman"/>
                <w:szCs w:val="22"/>
              </w:rPr>
            </w:pPr>
            <w:r w:rsidRPr="00A74893">
              <w:rPr>
                <w:rFonts w:ascii="Times New Roman" w:hAnsi="Times New Roman" w:cs="Times New Roman"/>
                <w:szCs w:val="22"/>
              </w:rPr>
              <w:t>1.</w:t>
            </w:r>
          </w:p>
        </w:tc>
        <w:tc>
          <w:tcPr>
            <w:tcW w:w="1117" w:type="pct"/>
          </w:tcPr>
          <w:p w:rsidR="005254A1" w:rsidRPr="00A74893" w:rsidRDefault="005254A1" w:rsidP="00117DE9">
            <w:pPr>
              <w:pStyle w:val="ConsPlusNormal"/>
              <w:rPr>
                <w:rFonts w:ascii="Times New Roman" w:hAnsi="Times New Roman" w:cs="Times New Roman"/>
                <w:szCs w:val="22"/>
              </w:rPr>
            </w:pPr>
            <w:r w:rsidRPr="00A74893">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1644" w:type="pct"/>
          </w:tcPr>
          <w:p w:rsidR="005254A1" w:rsidRPr="00A74893" w:rsidRDefault="005254A1" w:rsidP="00117DE9">
            <w:pPr>
              <w:pStyle w:val="ConsPlusNormal"/>
              <w:rPr>
                <w:rFonts w:ascii="Times New Roman" w:hAnsi="Times New Roman" w:cs="Times New Roman"/>
                <w:szCs w:val="22"/>
              </w:rPr>
            </w:pPr>
            <w:r w:rsidRPr="00A74893">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17" w:type="pct"/>
          </w:tcPr>
          <w:p w:rsidR="005254A1" w:rsidRPr="00A74893" w:rsidRDefault="007B47EC" w:rsidP="00117DE9">
            <w:pPr>
              <w:pStyle w:val="ConsPlusNormal"/>
              <w:jc w:val="center"/>
              <w:rPr>
                <w:rFonts w:ascii="Times New Roman" w:hAnsi="Times New Roman" w:cs="Times New Roman"/>
                <w:szCs w:val="22"/>
              </w:rPr>
            </w:pPr>
            <w:r w:rsidRPr="00A74893">
              <w:rPr>
                <w:rFonts w:ascii="Times New Roman" w:hAnsi="Times New Roman" w:cs="Times New Roman"/>
                <w:szCs w:val="22"/>
              </w:rPr>
              <w:t>100</w:t>
            </w:r>
          </w:p>
        </w:tc>
        <w:tc>
          <w:tcPr>
            <w:tcW w:w="552" w:type="pct"/>
          </w:tcPr>
          <w:p w:rsidR="005254A1" w:rsidRPr="00A74893" w:rsidRDefault="007B47EC" w:rsidP="00117DE9">
            <w:pPr>
              <w:pStyle w:val="ConsPlusNormal"/>
              <w:jc w:val="center"/>
              <w:rPr>
                <w:rFonts w:ascii="Times New Roman" w:hAnsi="Times New Roman" w:cs="Times New Roman"/>
                <w:szCs w:val="22"/>
              </w:rPr>
            </w:pPr>
            <w:r w:rsidRPr="00A74893">
              <w:rPr>
                <w:rFonts w:ascii="Times New Roman" w:hAnsi="Times New Roman" w:cs="Times New Roman"/>
                <w:szCs w:val="22"/>
              </w:rPr>
              <w:t>100</w:t>
            </w:r>
          </w:p>
        </w:tc>
        <w:tc>
          <w:tcPr>
            <w:tcW w:w="904" w:type="pct"/>
          </w:tcPr>
          <w:p w:rsidR="005254A1" w:rsidRPr="00A74893" w:rsidRDefault="008772BE" w:rsidP="00117DE9">
            <w:pPr>
              <w:pStyle w:val="ConsPlusNormal"/>
              <w:rPr>
                <w:rFonts w:ascii="Times New Roman" w:hAnsi="Times New Roman" w:cs="Times New Roman"/>
                <w:szCs w:val="22"/>
              </w:rPr>
            </w:pPr>
            <w:r w:rsidRPr="00A74893">
              <w:rPr>
                <w:rFonts w:ascii="Times New Roman" w:hAnsi="Times New Roman" w:cs="Times New Roman"/>
                <w:szCs w:val="22"/>
              </w:rPr>
              <w:t>Управление жилищно-коммунального хозяйства, строительства, транспорта, связи и экологии</w:t>
            </w:r>
            <w:r w:rsidR="00D2034C" w:rsidRPr="00A74893">
              <w:rPr>
                <w:rFonts w:ascii="Times New Roman" w:hAnsi="Times New Roman" w:cs="Times New Roman"/>
                <w:szCs w:val="22"/>
              </w:rPr>
              <w:t xml:space="preserve"> администрации ЧРМО</w:t>
            </w:r>
          </w:p>
        </w:tc>
      </w:tr>
      <w:tr w:rsidR="005254A1" w:rsidRPr="00A74893" w:rsidTr="00117DE9">
        <w:tc>
          <w:tcPr>
            <w:tcW w:w="166" w:type="pct"/>
            <w:vMerge/>
          </w:tcPr>
          <w:p w:rsidR="005254A1" w:rsidRPr="00A74893" w:rsidRDefault="005254A1" w:rsidP="00117DE9">
            <w:pPr>
              <w:pStyle w:val="ConsPlusNormal"/>
              <w:jc w:val="center"/>
              <w:rPr>
                <w:rFonts w:ascii="Times New Roman" w:hAnsi="Times New Roman" w:cs="Times New Roman"/>
                <w:szCs w:val="22"/>
              </w:rPr>
            </w:pPr>
          </w:p>
        </w:tc>
        <w:tc>
          <w:tcPr>
            <w:tcW w:w="1117" w:type="pct"/>
          </w:tcPr>
          <w:p w:rsidR="005254A1" w:rsidRPr="00A74893" w:rsidRDefault="005254A1" w:rsidP="00117DE9">
            <w:pPr>
              <w:pStyle w:val="ConsPlusNormal"/>
              <w:jc w:val="both"/>
              <w:rPr>
                <w:rFonts w:ascii="Times New Roman" w:hAnsi="Times New Roman" w:cs="Times New Roman"/>
                <w:szCs w:val="22"/>
              </w:rPr>
            </w:pPr>
            <w:r w:rsidRPr="00A74893">
              <w:rPr>
                <w:rFonts w:ascii="Times New Roman" w:hAnsi="Times New Roman" w:cs="Times New Roman"/>
                <w:szCs w:val="22"/>
              </w:rPr>
              <w:t>Обоснование выбора товарного рынка</w:t>
            </w:r>
          </w:p>
        </w:tc>
        <w:tc>
          <w:tcPr>
            <w:tcW w:w="3717" w:type="pct"/>
            <w:gridSpan w:val="4"/>
          </w:tcPr>
          <w:p w:rsidR="007B47EC" w:rsidRPr="00A74893" w:rsidRDefault="007B47EC"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 </w:t>
            </w:r>
          </w:p>
          <w:p w:rsidR="007B47EC" w:rsidRPr="00A74893" w:rsidRDefault="007B47EC"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1) непосредственное управление собственниками помещений в МКД, количество квартир в котором составляет не более чем 30; </w:t>
            </w:r>
          </w:p>
          <w:p w:rsidR="007B47EC" w:rsidRPr="00A74893" w:rsidRDefault="007B47EC"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2) управление товариществом собственников жилья либо жилищным кооперативом или иным специализированным потребительским кооперативом; </w:t>
            </w:r>
          </w:p>
          <w:p w:rsidR="007B47EC" w:rsidRPr="00A74893" w:rsidRDefault="007B47EC"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3) управление управляющей организацией. </w:t>
            </w:r>
          </w:p>
          <w:p w:rsidR="007B47EC" w:rsidRPr="00A74893" w:rsidRDefault="007B47EC"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 </w:t>
            </w:r>
          </w:p>
          <w:p w:rsidR="005254A1" w:rsidRPr="00A74893" w:rsidRDefault="007B47EC"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w:t>
            </w:r>
            <w:r w:rsidRPr="00A74893">
              <w:rPr>
                <w:rFonts w:ascii="Times New Roman" w:hAnsi="Times New Roman" w:cs="Times New Roman"/>
                <w:szCs w:val="22"/>
              </w:rPr>
              <w:lastRenderedPageBreak/>
              <w:t>службы государственной статистики от 10 июля 2015 года № 305, на 01.01.2020 доля площади помещений в МКД, находящихся в управлении управляющих организаций только частной формы собственности, составила 100%. В соответствии с формой</w:t>
            </w:r>
            <w:r w:rsidR="008772BE" w:rsidRPr="00A74893">
              <w:rPr>
                <w:rFonts w:ascii="Times New Roman" w:hAnsi="Times New Roman" w:cs="Times New Roman"/>
                <w:szCs w:val="22"/>
              </w:rPr>
              <w:t xml:space="preserve"> </w:t>
            </w:r>
            <w:r w:rsidRPr="00A74893">
              <w:rPr>
                <w:rFonts w:ascii="Times New Roman" w:hAnsi="Times New Roman" w:cs="Times New Roman"/>
                <w:szCs w:val="22"/>
              </w:rPr>
              <w:t xml:space="preserve"> № 22-ЖКХ (реформа) на 01.01.2020 отсутствуют МКД, в отношении которых способ управления не выбран собственниками и не определен по результатам открытого конкурса.</w:t>
            </w:r>
          </w:p>
        </w:tc>
      </w:tr>
      <w:tr w:rsidR="005254A1" w:rsidRPr="00A74893" w:rsidTr="00117DE9">
        <w:tc>
          <w:tcPr>
            <w:tcW w:w="166" w:type="pct"/>
            <w:vMerge w:val="restart"/>
          </w:tcPr>
          <w:p w:rsidR="005254A1" w:rsidRPr="00A74893" w:rsidRDefault="004A36C7" w:rsidP="00117DE9">
            <w:pPr>
              <w:pStyle w:val="ConsPlusNormal"/>
              <w:jc w:val="center"/>
              <w:rPr>
                <w:rFonts w:ascii="Times New Roman" w:hAnsi="Times New Roman" w:cs="Times New Roman"/>
                <w:szCs w:val="22"/>
              </w:rPr>
            </w:pPr>
            <w:r w:rsidRPr="00A74893">
              <w:rPr>
                <w:rFonts w:ascii="Times New Roman" w:hAnsi="Times New Roman" w:cs="Times New Roman"/>
                <w:szCs w:val="22"/>
              </w:rPr>
              <w:lastRenderedPageBreak/>
              <w:t>2</w:t>
            </w:r>
            <w:r w:rsidR="005254A1" w:rsidRPr="00A74893">
              <w:rPr>
                <w:rFonts w:ascii="Times New Roman" w:hAnsi="Times New Roman" w:cs="Times New Roman"/>
                <w:szCs w:val="22"/>
              </w:rPr>
              <w:t>.</w:t>
            </w:r>
          </w:p>
        </w:tc>
        <w:tc>
          <w:tcPr>
            <w:tcW w:w="1117" w:type="pct"/>
          </w:tcPr>
          <w:p w:rsidR="005254A1" w:rsidRPr="00A74893" w:rsidRDefault="005254A1" w:rsidP="00117DE9">
            <w:pPr>
              <w:autoSpaceDE w:val="0"/>
              <w:autoSpaceDN w:val="0"/>
              <w:adjustRightInd w:val="0"/>
            </w:pPr>
            <w:r w:rsidRPr="00A74893">
              <w:rPr>
                <w:sz w:val="22"/>
                <w:szCs w:val="22"/>
              </w:rPr>
              <w:t>Сфера розничной торговли</w:t>
            </w:r>
          </w:p>
        </w:tc>
        <w:tc>
          <w:tcPr>
            <w:tcW w:w="1644" w:type="pct"/>
          </w:tcPr>
          <w:p w:rsidR="005254A1" w:rsidRPr="00A74893" w:rsidRDefault="005254A1" w:rsidP="00117DE9">
            <w:pPr>
              <w:autoSpaceDE w:val="0"/>
              <w:autoSpaceDN w:val="0"/>
              <w:adjustRightInd w:val="0"/>
            </w:pPr>
            <w:r w:rsidRPr="00A74893">
              <w:rPr>
                <w:sz w:val="22"/>
                <w:szCs w:val="22"/>
              </w:rPr>
              <w:t>доля хозяйствующих субъектов негосударственных форм собственности в общем обороте розничной торговли, процентов</w:t>
            </w:r>
          </w:p>
        </w:tc>
        <w:tc>
          <w:tcPr>
            <w:tcW w:w="617"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100</w:t>
            </w:r>
          </w:p>
        </w:tc>
        <w:tc>
          <w:tcPr>
            <w:tcW w:w="552" w:type="pct"/>
          </w:tcPr>
          <w:p w:rsidR="005254A1" w:rsidRPr="00A74893" w:rsidRDefault="005254A1" w:rsidP="00117DE9">
            <w:pPr>
              <w:pStyle w:val="ConsPlusNormal"/>
              <w:jc w:val="center"/>
              <w:rPr>
                <w:rFonts w:ascii="Times New Roman" w:hAnsi="Times New Roman" w:cs="Times New Roman"/>
                <w:szCs w:val="22"/>
              </w:rPr>
            </w:pPr>
            <w:r w:rsidRPr="00A74893">
              <w:rPr>
                <w:rFonts w:ascii="Times New Roman" w:hAnsi="Times New Roman" w:cs="Times New Roman"/>
                <w:szCs w:val="22"/>
              </w:rPr>
              <w:t>100</w:t>
            </w:r>
          </w:p>
        </w:tc>
        <w:tc>
          <w:tcPr>
            <w:tcW w:w="904" w:type="pct"/>
          </w:tcPr>
          <w:p w:rsidR="005254A1" w:rsidRPr="00A74893" w:rsidRDefault="007801C4" w:rsidP="00117DE9">
            <w:pPr>
              <w:pStyle w:val="ConsPlusNormal"/>
              <w:rPr>
                <w:rFonts w:ascii="Times New Roman" w:hAnsi="Times New Roman" w:cs="Times New Roman"/>
                <w:szCs w:val="22"/>
              </w:rPr>
            </w:pPr>
            <w:r w:rsidRPr="00A74893">
              <w:rPr>
                <w:rFonts w:ascii="Times New Roman" w:hAnsi="Times New Roman" w:cs="Times New Roman"/>
                <w:szCs w:val="22"/>
              </w:rPr>
              <w:t>Сектор развития торговли и бытового обслуживания отдела экономического прогнозирования и планирования</w:t>
            </w:r>
            <w:r w:rsidR="00D2034C" w:rsidRPr="00A74893">
              <w:rPr>
                <w:rFonts w:ascii="Times New Roman" w:hAnsi="Times New Roman" w:cs="Times New Roman"/>
                <w:szCs w:val="22"/>
              </w:rPr>
              <w:t xml:space="preserve"> администрации ЧРМО</w:t>
            </w:r>
          </w:p>
        </w:tc>
      </w:tr>
      <w:tr w:rsidR="005254A1" w:rsidRPr="00A74893" w:rsidTr="00117DE9">
        <w:tc>
          <w:tcPr>
            <w:tcW w:w="166" w:type="pct"/>
            <w:vMerge/>
          </w:tcPr>
          <w:p w:rsidR="005254A1" w:rsidRPr="00A74893" w:rsidRDefault="005254A1" w:rsidP="00117DE9">
            <w:pPr>
              <w:pStyle w:val="ConsPlusNormal"/>
              <w:jc w:val="center"/>
              <w:rPr>
                <w:rFonts w:ascii="Times New Roman" w:hAnsi="Times New Roman" w:cs="Times New Roman"/>
                <w:szCs w:val="22"/>
              </w:rPr>
            </w:pPr>
          </w:p>
        </w:tc>
        <w:tc>
          <w:tcPr>
            <w:tcW w:w="1117" w:type="pct"/>
          </w:tcPr>
          <w:p w:rsidR="005254A1" w:rsidRPr="00A74893" w:rsidRDefault="005254A1" w:rsidP="00117DE9">
            <w:pPr>
              <w:pStyle w:val="ConsPlusNormal"/>
              <w:jc w:val="both"/>
              <w:rPr>
                <w:rFonts w:ascii="Times New Roman" w:hAnsi="Times New Roman" w:cs="Times New Roman"/>
                <w:szCs w:val="22"/>
              </w:rPr>
            </w:pPr>
            <w:r w:rsidRPr="00A74893">
              <w:rPr>
                <w:rFonts w:ascii="Times New Roman" w:hAnsi="Times New Roman" w:cs="Times New Roman"/>
                <w:szCs w:val="22"/>
              </w:rPr>
              <w:t>Обоснование выбора товарного рынка</w:t>
            </w:r>
          </w:p>
        </w:tc>
        <w:tc>
          <w:tcPr>
            <w:tcW w:w="3717" w:type="pct"/>
            <w:gridSpan w:val="4"/>
          </w:tcPr>
          <w:p w:rsidR="00962CDF" w:rsidRPr="00A74893" w:rsidRDefault="005254A1" w:rsidP="00962CDF">
            <w:pPr>
              <w:pStyle w:val="ConsPlusNormal"/>
              <w:jc w:val="both"/>
              <w:rPr>
                <w:rFonts w:ascii="Times New Roman" w:hAnsi="Times New Roman" w:cs="Times New Roman"/>
                <w:szCs w:val="22"/>
              </w:rPr>
            </w:pPr>
            <w:r w:rsidRPr="00A74893">
              <w:rPr>
                <w:rFonts w:ascii="Times New Roman" w:hAnsi="Times New Roman" w:cs="Times New Roman"/>
                <w:szCs w:val="22"/>
              </w:rPr>
              <w:t xml:space="preserve">Сфера розничной торговли Черемховского районного муниципального образования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w:t>
            </w:r>
            <w:r w:rsidR="00962CDF" w:rsidRPr="00A74893">
              <w:rPr>
                <w:rFonts w:ascii="Times New Roman" w:hAnsi="Times New Roman" w:cs="Times New Roman"/>
                <w:szCs w:val="22"/>
              </w:rPr>
              <w:t>На конец 2018 года товаропроводящая сеть  район</w:t>
            </w:r>
            <w:r w:rsidR="00317586" w:rsidRPr="00A74893">
              <w:rPr>
                <w:rFonts w:ascii="Times New Roman" w:hAnsi="Times New Roman" w:cs="Times New Roman"/>
                <w:szCs w:val="22"/>
              </w:rPr>
              <w:t>а</w:t>
            </w:r>
            <w:r w:rsidR="00962CDF" w:rsidRPr="00A74893">
              <w:rPr>
                <w:rFonts w:ascii="Times New Roman" w:hAnsi="Times New Roman" w:cs="Times New Roman"/>
                <w:szCs w:val="22"/>
              </w:rPr>
              <w:t xml:space="preserve"> состояла из 202 предприятий розничной торговли (11 торговых центров, 29 непродовольственных магазинов</w:t>
            </w:r>
            <w:r w:rsidR="004A36C7" w:rsidRPr="00A74893">
              <w:rPr>
                <w:rFonts w:ascii="Times New Roman" w:hAnsi="Times New Roman" w:cs="Times New Roman"/>
                <w:szCs w:val="22"/>
              </w:rPr>
              <w:t xml:space="preserve">, </w:t>
            </w:r>
            <w:r w:rsidR="00962CDF" w:rsidRPr="00A74893">
              <w:rPr>
                <w:rFonts w:ascii="Times New Roman" w:hAnsi="Times New Roman" w:cs="Times New Roman"/>
                <w:szCs w:val="22"/>
              </w:rPr>
              <w:t>31 продовольственный магазин, 120 универсальных магазина, 9 павильонов, 2 объекта мобильной торговли).</w:t>
            </w:r>
          </w:p>
          <w:p w:rsidR="005254A1" w:rsidRPr="00A74893" w:rsidRDefault="00CC2C18" w:rsidP="00962CDF">
            <w:pPr>
              <w:pStyle w:val="ConsPlusNormal"/>
              <w:jc w:val="both"/>
              <w:rPr>
                <w:rFonts w:ascii="Times New Roman" w:hAnsi="Times New Roman" w:cs="Times New Roman"/>
                <w:szCs w:val="22"/>
              </w:rPr>
            </w:pPr>
            <w:r w:rsidRPr="00A74893">
              <w:rPr>
                <w:rFonts w:ascii="Times New Roman" w:hAnsi="Times New Roman" w:cs="Times New Roman"/>
                <w:szCs w:val="22"/>
              </w:rPr>
              <w:t>Продолж</w:t>
            </w:r>
            <w:r w:rsidR="00962CDF" w:rsidRPr="00A74893">
              <w:rPr>
                <w:rFonts w:ascii="Times New Roman" w:hAnsi="Times New Roman" w:cs="Times New Roman"/>
                <w:szCs w:val="22"/>
              </w:rPr>
              <w:t>илось</w:t>
            </w:r>
            <w:r w:rsidR="005254A1" w:rsidRPr="00A74893">
              <w:rPr>
                <w:rFonts w:ascii="Times New Roman" w:hAnsi="Times New Roman" w:cs="Times New Roman"/>
                <w:szCs w:val="22"/>
              </w:rPr>
              <w:t xml:space="preserve"> развитие сети фирменной </w:t>
            </w:r>
            <w:r w:rsidRPr="00A74893">
              <w:rPr>
                <w:rFonts w:ascii="Times New Roman" w:hAnsi="Times New Roman" w:cs="Times New Roman"/>
                <w:szCs w:val="22"/>
              </w:rPr>
              <w:t>торговли  СХ ПАО Белореченское, а также нового для района формата торговли – продовольственных дискаунтеров («Хлеб Соль»). По состоянию на 01.01.2019 торговых площадей на территории района – 12 109,5 кв.м. Обеспеченность населения торговыми площадями составила 425,4 кв.м. на 1000 жителей. Кроме того в районе действуют ярмарочные площадки. За 2018 год проведено 67 ярмарок (</w:t>
            </w:r>
            <w:r w:rsidR="007A1A5F" w:rsidRPr="00A74893">
              <w:rPr>
                <w:rFonts w:ascii="Times New Roman" w:hAnsi="Times New Roman" w:cs="Times New Roman"/>
                <w:szCs w:val="22"/>
              </w:rPr>
              <w:t>8 сезонных,</w:t>
            </w:r>
            <w:r w:rsidRPr="00A74893">
              <w:rPr>
                <w:rFonts w:ascii="Times New Roman" w:hAnsi="Times New Roman" w:cs="Times New Roman"/>
                <w:szCs w:val="22"/>
              </w:rPr>
              <w:t xml:space="preserve"> 50 ярмарок выходного дня; 9 праздничных)</w:t>
            </w:r>
            <w:r w:rsidR="00962CDF" w:rsidRPr="00A74893">
              <w:rPr>
                <w:rFonts w:ascii="Times New Roman" w:hAnsi="Times New Roman" w:cs="Times New Roman"/>
                <w:szCs w:val="22"/>
              </w:rPr>
              <w:t>.</w:t>
            </w:r>
            <w:r w:rsidR="00962CDF" w:rsidRPr="00A74893">
              <w:rPr>
                <w:szCs w:val="22"/>
              </w:rPr>
              <w:t xml:space="preserve"> </w:t>
            </w:r>
            <w:r w:rsidR="00962CDF" w:rsidRPr="00A74893">
              <w:rPr>
                <w:rFonts w:ascii="Times New Roman" w:hAnsi="Times New Roman" w:cs="Times New Roman"/>
                <w:szCs w:val="22"/>
              </w:rPr>
              <w:t>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w:t>
            </w:r>
            <w:r w:rsidR="00962CDF" w:rsidRPr="00A74893">
              <w:rPr>
                <w:szCs w:val="22"/>
              </w:rPr>
              <w:t xml:space="preserve"> </w:t>
            </w:r>
            <w:r w:rsidR="00962CDF" w:rsidRPr="00A74893">
              <w:rPr>
                <w:rFonts w:ascii="Times New Roman" w:hAnsi="Times New Roman" w:cs="Times New Roman"/>
                <w:szCs w:val="22"/>
              </w:rPr>
              <w:t>посредников по ценам ниже среднерыночных.</w:t>
            </w:r>
          </w:p>
          <w:p w:rsidR="00962CDF" w:rsidRPr="00A74893" w:rsidRDefault="00962CDF" w:rsidP="007A1A5F">
            <w:pPr>
              <w:pStyle w:val="ConsPlusNormal"/>
              <w:jc w:val="both"/>
              <w:rPr>
                <w:rFonts w:ascii="Times New Roman" w:hAnsi="Times New Roman" w:cs="Times New Roman"/>
                <w:szCs w:val="22"/>
              </w:rPr>
            </w:pPr>
            <w:r w:rsidRPr="00A74893">
              <w:rPr>
                <w:rFonts w:ascii="Times New Roman" w:hAnsi="Times New Roman" w:cs="Times New Roman"/>
                <w:szCs w:val="22"/>
              </w:rPr>
              <w:t xml:space="preserve">Все перечисленные факторы, способствовали </w:t>
            </w:r>
            <w:r w:rsidR="00F65718" w:rsidRPr="00A74893">
              <w:rPr>
                <w:rFonts w:ascii="Times New Roman" w:hAnsi="Times New Roman" w:cs="Times New Roman"/>
                <w:szCs w:val="22"/>
              </w:rPr>
              <w:t xml:space="preserve">развитию </w:t>
            </w:r>
            <w:r w:rsidRPr="00A74893">
              <w:rPr>
                <w:rFonts w:ascii="Times New Roman" w:hAnsi="Times New Roman" w:cs="Times New Roman"/>
                <w:szCs w:val="22"/>
              </w:rPr>
              <w:t>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w:t>
            </w:r>
            <w:r w:rsidR="00F65718" w:rsidRPr="00A74893">
              <w:rPr>
                <w:rFonts w:ascii="Times New Roman" w:hAnsi="Times New Roman" w:cs="Times New Roman"/>
                <w:szCs w:val="22"/>
              </w:rPr>
              <w:t xml:space="preserve">асти в 2018 году товарооборот в </w:t>
            </w:r>
            <w:r w:rsidR="007A1A5F" w:rsidRPr="00A74893">
              <w:rPr>
                <w:rFonts w:ascii="Times New Roman" w:hAnsi="Times New Roman" w:cs="Times New Roman"/>
                <w:szCs w:val="22"/>
              </w:rPr>
              <w:t>Черемховском</w:t>
            </w:r>
            <w:r w:rsidR="00F65718" w:rsidRPr="00A74893">
              <w:rPr>
                <w:rFonts w:ascii="Times New Roman" w:hAnsi="Times New Roman" w:cs="Times New Roman"/>
                <w:szCs w:val="22"/>
              </w:rPr>
              <w:t xml:space="preserve"> районе</w:t>
            </w:r>
            <w:r w:rsidR="007A1A5F" w:rsidRPr="00A74893">
              <w:rPr>
                <w:rFonts w:ascii="Times New Roman" w:hAnsi="Times New Roman" w:cs="Times New Roman"/>
                <w:szCs w:val="22"/>
              </w:rPr>
              <w:t xml:space="preserve"> </w:t>
            </w:r>
            <w:r w:rsidRPr="00A74893">
              <w:rPr>
                <w:rFonts w:ascii="Times New Roman" w:hAnsi="Times New Roman" w:cs="Times New Roman"/>
                <w:szCs w:val="22"/>
              </w:rPr>
              <w:t xml:space="preserve">увеличился на </w:t>
            </w:r>
            <w:r w:rsidR="007A1A5F" w:rsidRPr="00A74893">
              <w:rPr>
                <w:rFonts w:ascii="Times New Roman" w:hAnsi="Times New Roman" w:cs="Times New Roman"/>
                <w:szCs w:val="22"/>
              </w:rPr>
              <w:t>5,1</w:t>
            </w:r>
            <w:r w:rsidRPr="00A74893">
              <w:rPr>
                <w:rFonts w:ascii="Times New Roman" w:hAnsi="Times New Roman" w:cs="Times New Roman"/>
                <w:szCs w:val="22"/>
              </w:rPr>
              <w:t xml:space="preserve">% по сравнению с 2017 годом и составил </w:t>
            </w:r>
            <w:r w:rsidR="007A1A5F" w:rsidRPr="00A74893">
              <w:rPr>
                <w:rFonts w:ascii="Times New Roman" w:hAnsi="Times New Roman" w:cs="Times New Roman"/>
                <w:szCs w:val="22"/>
              </w:rPr>
              <w:t>1 676,61 млн. руб.</w:t>
            </w:r>
          </w:p>
          <w:p w:rsidR="007A1A5F" w:rsidRPr="00A74893" w:rsidRDefault="00317586" w:rsidP="007A1A5F">
            <w:pPr>
              <w:pStyle w:val="ConsPlusNormal"/>
              <w:jc w:val="both"/>
              <w:rPr>
                <w:rFonts w:ascii="Times New Roman" w:hAnsi="Times New Roman" w:cs="Times New Roman"/>
                <w:szCs w:val="22"/>
              </w:rPr>
            </w:pPr>
            <w:r w:rsidRPr="00A74893">
              <w:rPr>
                <w:rFonts w:ascii="Times New Roman" w:hAnsi="Times New Roman" w:cs="Times New Roman"/>
                <w:szCs w:val="22"/>
              </w:rPr>
              <w:t xml:space="preserve">Несмотря на это, в сфере розничной торговли существуют проблемные вопросы. Так, наблюдается снижение торговых площадей. Прежде всего, это связано со снижением покупательской способности населения. Кроме того, удаленность отдельных населенных пунктов Черемховского района от центра также способствует сокращению торговых объектов и </w:t>
            </w:r>
            <w:r w:rsidRPr="00A74893">
              <w:rPr>
                <w:rFonts w:ascii="Times New Roman" w:hAnsi="Times New Roman" w:cs="Times New Roman"/>
                <w:szCs w:val="22"/>
              </w:rPr>
              <w:lastRenderedPageBreak/>
              <w:t xml:space="preserve">соответственно торговых площадей. </w:t>
            </w:r>
          </w:p>
        </w:tc>
      </w:tr>
    </w:tbl>
    <w:p w:rsidR="005254A1" w:rsidRPr="00A74893" w:rsidRDefault="005254A1" w:rsidP="00B56281">
      <w:pPr>
        <w:ind w:right="-284"/>
        <w:jc w:val="right"/>
        <w:rPr>
          <w:szCs w:val="28"/>
        </w:rPr>
      </w:pPr>
    </w:p>
    <w:p w:rsidR="00750F99" w:rsidRPr="00A74893" w:rsidRDefault="00750F99" w:rsidP="00B56281">
      <w:pPr>
        <w:jc w:val="right"/>
        <w:rPr>
          <w:szCs w:val="28"/>
        </w:rPr>
      </w:pPr>
    </w:p>
    <w:p w:rsidR="007801C4" w:rsidRPr="00A74893" w:rsidRDefault="007801C4" w:rsidP="00B56281">
      <w:pPr>
        <w:jc w:val="right"/>
        <w:rPr>
          <w:sz w:val="27"/>
          <w:szCs w:val="27"/>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8772BE" w:rsidRPr="00A74893" w:rsidRDefault="008772BE" w:rsidP="00B56281">
      <w:pPr>
        <w:shd w:val="clear" w:color="auto" w:fill="FFFFFF"/>
        <w:autoSpaceDE w:val="0"/>
        <w:autoSpaceDN w:val="0"/>
        <w:adjustRightInd w:val="0"/>
        <w:ind w:left="5670"/>
        <w:jc w:val="right"/>
        <w:rPr>
          <w:color w:val="000000"/>
        </w:rPr>
      </w:pPr>
    </w:p>
    <w:p w:rsidR="004A36C7" w:rsidRPr="00A74893" w:rsidRDefault="004A36C7" w:rsidP="00B56281">
      <w:pPr>
        <w:shd w:val="clear" w:color="auto" w:fill="FFFFFF"/>
        <w:autoSpaceDE w:val="0"/>
        <w:autoSpaceDN w:val="0"/>
        <w:adjustRightInd w:val="0"/>
        <w:ind w:left="5670"/>
        <w:jc w:val="right"/>
        <w:rPr>
          <w:color w:val="000000"/>
        </w:rPr>
      </w:pPr>
    </w:p>
    <w:p w:rsidR="004A36C7" w:rsidRPr="00A74893" w:rsidRDefault="004A36C7"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D2034C" w:rsidRPr="00A74893" w:rsidRDefault="00D2034C" w:rsidP="00B56281">
      <w:pPr>
        <w:shd w:val="clear" w:color="auto" w:fill="FFFFFF"/>
        <w:autoSpaceDE w:val="0"/>
        <w:autoSpaceDN w:val="0"/>
        <w:adjustRightInd w:val="0"/>
        <w:jc w:val="right"/>
        <w:rPr>
          <w:color w:val="000000"/>
        </w:rPr>
      </w:pPr>
    </w:p>
    <w:p w:rsidR="00750F99" w:rsidRPr="00A74893" w:rsidRDefault="00750F99" w:rsidP="00B56281">
      <w:pPr>
        <w:shd w:val="clear" w:color="auto" w:fill="FFFFFF"/>
        <w:autoSpaceDE w:val="0"/>
        <w:autoSpaceDN w:val="0"/>
        <w:adjustRightInd w:val="0"/>
        <w:ind w:left="9923"/>
        <w:rPr>
          <w:color w:val="000000"/>
        </w:rPr>
      </w:pPr>
      <w:r w:rsidRPr="00A74893">
        <w:rPr>
          <w:color w:val="000000"/>
        </w:rPr>
        <w:lastRenderedPageBreak/>
        <w:t xml:space="preserve">Приложение № 2 к постановлению </w:t>
      </w:r>
    </w:p>
    <w:p w:rsidR="00750F99" w:rsidRPr="00A74893" w:rsidRDefault="00750F99" w:rsidP="00B56281">
      <w:pPr>
        <w:shd w:val="clear" w:color="auto" w:fill="FFFFFF"/>
        <w:autoSpaceDE w:val="0"/>
        <w:autoSpaceDN w:val="0"/>
        <w:adjustRightInd w:val="0"/>
        <w:ind w:left="9923"/>
        <w:rPr>
          <w:color w:val="000000"/>
        </w:rPr>
      </w:pPr>
      <w:r w:rsidRPr="00A74893">
        <w:rPr>
          <w:color w:val="000000"/>
        </w:rPr>
        <w:t xml:space="preserve">администрации Черемховского районного </w:t>
      </w:r>
    </w:p>
    <w:p w:rsidR="00750F99" w:rsidRPr="00A74893" w:rsidRDefault="00750F99" w:rsidP="00B56281">
      <w:pPr>
        <w:shd w:val="clear" w:color="auto" w:fill="FFFFFF"/>
        <w:autoSpaceDE w:val="0"/>
        <w:autoSpaceDN w:val="0"/>
        <w:adjustRightInd w:val="0"/>
        <w:ind w:left="9923"/>
        <w:rPr>
          <w:color w:val="000000"/>
        </w:rPr>
      </w:pPr>
      <w:r w:rsidRPr="00A74893">
        <w:rPr>
          <w:color w:val="000000"/>
        </w:rPr>
        <w:t>муниципального образования</w:t>
      </w:r>
    </w:p>
    <w:p w:rsidR="00750F99" w:rsidRPr="00A74893" w:rsidRDefault="00B56281" w:rsidP="00B56281">
      <w:pPr>
        <w:ind w:left="9923"/>
        <w:rPr>
          <w:sz w:val="27"/>
          <w:szCs w:val="27"/>
        </w:rPr>
      </w:pPr>
      <w:r w:rsidRPr="00A74893">
        <w:rPr>
          <w:color w:val="000000"/>
        </w:rPr>
        <w:t>от 26.03.2020 № 186-п</w:t>
      </w:r>
    </w:p>
    <w:p w:rsidR="00433B05" w:rsidRPr="00A74893" w:rsidRDefault="00433B05" w:rsidP="005254A1">
      <w:pPr>
        <w:jc w:val="right"/>
        <w:rPr>
          <w:sz w:val="27"/>
          <w:szCs w:val="27"/>
        </w:rPr>
      </w:pPr>
    </w:p>
    <w:p w:rsidR="00750F99" w:rsidRPr="00A74893" w:rsidRDefault="00750F99" w:rsidP="00750F99">
      <w:pPr>
        <w:jc w:val="center"/>
        <w:outlineLvl w:val="0"/>
        <w:rPr>
          <w:sz w:val="28"/>
          <w:szCs w:val="28"/>
        </w:rPr>
      </w:pPr>
      <w:r w:rsidRPr="00A74893">
        <w:rPr>
          <w:sz w:val="28"/>
          <w:szCs w:val="28"/>
        </w:rPr>
        <w:t>ПЛАН МЕРОПРИЯТИЙ («ДОРОЖНАЯ КАРТА»)</w:t>
      </w:r>
    </w:p>
    <w:p w:rsidR="00750F99" w:rsidRPr="00A74893" w:rsidRDefault="00750F99" w:rsidP="00750F99">
      <w:pPr>
        <w:jc w:val="center"/>
        <w:rPr>
          <w:sz w:val="28"/>
          <w:szCs w:val="28"/>
        </w:rPr>
      </w:pPr>
      <w:r w:rsidRPr="00A74893">
        <w:rPr>
          <w:sz w:val="28"/>
          <w:szCs w:val="28"/>
        </w:rPr>
        <w:t xml:space="preserve">ПО СОДЕЙСТВИЮ РАЗВИТИЮ КОНКУРЕНЦИИ НА ТЕРРИТОРИИ </w:t>
      </w:r>
      <w:r w:rsidR="00A93AC7" w:rsidRPr="00A74893">
        <w:rPr>
          <w:sz w:val="28"/>
          <w:szCs w:val="28"/>
        </w:rPr>
        <w:t xml:space="preserve">ЧЕРЕМХОВСКОГО РАЙОННОГО </w:t>
      </w:r>
      <w:r w:rsidRPr="00A74893">
        <w:rPr>
          <w:sz w:val="28"/>
          <w:szCs w:val="28"/>
        </w:rPr>
        <w:t>МУНИЦИПАЛЬНОГО ОБРАЗОВАНИЯ</w:t>
      </w:r>
      <w:bookmarkStart w:id="0" w:name="_GoBack"/>
      <w:bookmarkEnd w:id="0"/>
      <w:r w:rsidRPr="00A74893">
        <w:rPr>
          <w:sz w:val="28"/>
          <w:szCs w:val="28"/>
        </w:rPr>
        <w:t xml:space="preserve"> НА 2019-2022 ГОДЫ</w:t>
      </w:r>
    </w:p>
    <w:p w:rsidR="00750F99" w:rsidRPr="00A74893" w:rsidRDefault="00750F99" w:rsidP="00750F99">
      <w:pPr>
        <w:jc w:val="center"/>
        <w:rPr>
          <w:sz w:val="22"/>
          <w:szCs w:val="22"/>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150"/>
        <w:gridCol w:w="1431"/>
        <w:gridCol w:w="6"/>
        <w:gridCol w:w="2572"/>
        <w:gridCol w:w="1131"/>
        <w:gridCol w:w="1144"/>
        <w:gridCol w:w="1153"/>
        <w:gridCol w:w="1147"/>
        <w:gridCol w:w="3706"/>
      </w:tblGrid>
      <w:tr w:rsidR="00750F99" w:rsidRPr="00A74893" w:rsidTr="00117DE9">
        <w:trPr>
          <w:trHeight w:val="20"/>
          <w:tblHeader/>
        </w:trPr>
        <w:tc>
          <w:tcPr>
            <w:tcW w:w="221" w:type="pct"/>
            <w:vMerge w:val="restar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w:t>
            </w:r>
            <w:r w:rsidRPr="00A74893">
              <w:rPr>
                <w:rFonts w:ascii="Times New Roman" w:hAnsi="Times New Roman" w:cs="Times New Roman"/>
                <w:szCs w:val="22"/>
              </w:rPr>
              <w:br/>
              <w:t>п/п</w:t>
            </w:r>
          </w:p>
        </w:tc>
        <w:tc>
          <w:tcPr>
            <w:tcW w:w="975" w:type="pct"/>
            <w:vMerge w:val="restar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Наименование мероприятия</w:t>
            </w:r>
          </w:p>
        </w:tc>
        <w:tc>
          <w:tcPr>
            <w:tcW w:w="445" w:type="pct"/>
            <w:gridSpan w:val="2"/>
            <w:vMerge w:val="restar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Срок исполнения</w:t>
            </w:r>
          </w:p>
        </w:tc>
        <w:tc>
          <w:tcPr>
            <w:tcW w:w="796" w:type="pct"/>
            <w:vMerge w:val="restar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 xml:space="preserve">Наименование </w:t>
            </w:r>
            <w:r w:rsidRPr="00A74893">
              <w:rPr>
                <w:rFonts w:ascii="Times New Roman" w:hAnsi="Times New Roman" w:cs="Times New Roman"/>
                <w:szCs w:val="22"/>
              </w:rPr>
              <w:br/>
              <w:t xml:space="preserve">целевого показателя, </w:t>
            </w:r>
            <w:r w:rsidRPr="00A74893">
              <w:rPr>
                <w:rFonts w:ascii="Times New Roman" w:hAnsi="Times New Roman" w:cs="Times New Roman"/>
                <w:szCs w:val="22"/>
              </w:rPr>
              <w:br/>
              <w:t>единица измерения</w:t>
            </w:r>
          </w:p>
        </w:tc>
        <w:tc>
          <w:tcPr>
            <w:tcW w:w="1416" w:type="pct"/>
            <w:gridSpan w:val="4"/>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Значение целевого показателя</w:t>
            </w:r>
          </w:p>
        </w:tc>
        <w:tc>
          <w:tcPr>
            <w:tcW w:w="1147" w:type="pct"/>
            <w:vMerge w:val="restar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 xml:space="preserve">Ответственный </w:t>
            </w:r>
            <w:r w:rsidRPr="00A74893">
              <w:rPr>
                <w:rFonts w:ascii="Times New Roman" w:hAnsi="Times New Roman" w:cs="Times New Roman"/>
                <w:szCs w:val="22"/>
              </w:rPr>
              <w:br/>
              <w:t>исполнитель</w:t>
            </w:r>
          </w:p>
        </w:tc>
      </w:tr>
      <w:tr w:rsidR="00750F99" w:rsidRPr="00A74893" w:rsidTr="00117DE9">
        <w:trPr>
          <w:trHeight w:val="20"/>
          <w:tblHeader/>
        </w:trPr>
        <w:tc>
          <w:tcPr>
            <w:tcW w:w="221" w:type="pct"/>
            <w:vMerge/>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p>
        </w:tc>
        <w:tc>
          <w:tcPr>
            <w:tcW w:w="975" w:type="pct"/>
            <w:vMerge/>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p>
        </w:tc>
        <w:tc>
          <w:tcPr>
            <w:tcW w:w="445" w:type="pct"/>
            <w:gridSpan w:val="2"/>
            <w:vMerge/>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p>
        </w:tc>
        <w:tc>
          <w:tcPr>
            <w:tcW w:w="796" w:type="pct"/>
            <w:vMerge/>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p>
        </w:tc>
        <w:tc>
          <w:tcPr>
            <w:tcW w:w="350" w:type="pc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01.01.2019</w:t>
            </w:r>
          </w:p>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 xml:space="preserve">(факт) </w:t>
            </w:r>
          </w:p>
        </w:tc>
        <w:tc>
          <w:tcPr>
            <w:tcW w:w="354" w:type="pc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 xml:space="preserve">01.01.2020 </w:t>
            </w:r>
          </w:p>
        </w:tc>
        <w:tc>
          <w:tcPr>
            <w:tcW w:w="357" w:type="pc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 xml:space="preserve">01.01.2021 </w:t>
            </w:r>
          </w:p>
        </w:tc>
        <w:tc>
          <w:tcPr>
            <w:tcW w:w="355" w:type="pct"/>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r w:rsidRPr="00A74893">
              <w:rPr>
                <w:rFonts w:ascii="Times New Roman" w:hAnsi="Times New Roman" w:cs="Times New Roman"/>
                <w:szCs w:val="22"/>
              </w:rPr>
              <w:t>01.01.2022</w:t>
            </w:r>
          </w:p>
        </w:tc>
        <w:tc>
          <w:tcPr>
            <w:tcW w:w="1147" w:type="pct"/>
            <w:vMerge/>
            <w:shd w:val="clear" w:color="auto" w:fill="D9D9D9" w:themeFill="background1" w:themeFillShade="D9"/>
          </w:tcPr>
          <w:p w:rsidR="00750F99" w:rsidRPr="00A74893" w:rsidRDefault="00750F99" w:rsidP="00117DE9">
            <w:pPr>
              <w:pStyle w:val="ConsPlusNormal"/>
              <w:jc w:val="center"/>
              <w:rPr>
                <w:rFonts w:ascii="Times New Roman" w:hAnsi="Times New Roman" w:cs="Times New Roman"/>
                <w:szCs w:val="22"/>
              </w:rPr>
            </w:pPr>
          </w:p>
        </w:tc>
      </w:tr>
      <w:tr w:rsidR="00750F99" w:rsidRPr="00A74893" w:rsidTr="00117DE9">
        <w:trPr>
          <w:trHeight w:val="20"/>
        </w:trPr>
        <w:tc>
          <w:tcPr>
            <w:tcW w:w="5000" w:type="pct"/>
            <w:gridSpan w:val="10"/>
          </w:tcPr>
          <w:p w:rsidR="00750F99" w:rsidRPr="00A74893" w:rsidRDefault="00750F99" w:rsidP="00117DE9">
            <w:pPr>
              <w:pStyle w:val="ConsPlusNormal"/>
              <w:keepNext/>
              <w:jc w:val="center"/>
              <w:rPr>
                <w:rFonts w:ascii="Times New Roman" w:hAnsi="Times New Roman" w:cs="Times New Roman"/>
                <w:szCs w:val="22"/>
              </w:rPr>
            </w:pPr>
            <w:r w:rsidRPr="00A74893">
              <w:rPr>
                <w:rFonts w:ascii="Times New Roman" w:hAnsi="Times New Roman" w:cs="Times New Roman"/>
                <w:szCs w:val="22"/>
              </w:rPr>
              <w:t xml:space="preserve">Раздел 1. План мероприятий по развитию конкуренции на товарных рынках, </w:t>
            </w:r>
          </w:p>
          <w:p w:rsidR="00750F99" w:rsidRPr="00A74893" w:rsidRDefault="00750F99" w:rsidP="00117DE9">
            <w:pPr>
              <w:pStyle w:val="ConsPlusNormal"/>
              <w:keepNext/>
              <w:jc w:val="center"/>
              <w:rPr>
                <w:rFonts w:ascii="Times New Roman" w:hAnsi="Times New Roman" w:cs="Times New Roman"/>
                <w:szCs w:val="22"/>
              </w:rPr>
            </w:pPr>
            <w:r w:rsidRPr="00A74893">
              <w:rPr>
                <w:rFonts w:ascii="Times New Roman" w:hAnsi="Times New Roman" w:cs="Times New Roman"/>
                <w:szCs w:val="22"/>
              </w:rPr>
              <w:t>утвержденных распоряжением Правительства Российской Федерации от 17 апреля 2019 года № 768-р</w:t>
            </w:r>
          </w:p>
        </w:tc>
      </w:tr>
      <w:tr w:rsidR="00750F99" w:rsidRPr="00A74893" w:rsidTr="00117DE9">
        <w:trPr>
          <w:trHeight w:val="20"/>
        </w:trPr>
        <w:tc>
          <w:tcPr>
            <w:tcW w:w="221" w:type="pct"/>
            <w:vMerge w:val="restart"/>
          </w:tcPr>
          <w:p w:rsidR="00750F99" w:rsidRPr="00A74893" w:rsidRDefault="00750F99" w:rsidP="00A93AC7">
            <w:pPr>
              <w:pStyle w:val="ConsPlusNormal"/>
              <w:jc w:val="center"/>
              <w:rPr>
                <w:rFonts w:ascii="Times New Roman" w:hAnsi="Times New Roman" w:cs="Times New Roman"/>
                <w:szCs w:val="22"/>
              </w:rPr>
            </w:pPr>
            <w:r w:rsidRPr="00A74893">
              <w:rPr>
                <w:rFonts w:ascii="Times New Roman" w:hAnsi="Times New Roman" w:cs="Times New Roman"/>
                <w:szCs w:val="22"/>
              </w:rPr>
              <w:t>1.</w:t>
            </w:r>
            <w:r w:rsidR="00A93AC7" w:rsidRPr="00A74893">
              <w:rPr>
                <w:rFonts w:ascii="Times New Roman" w:hAnsi="Times New Roman" w:cs="Times New Roman"/>
                <w:szCs w:val="22"/>
              </w:rPr>
              <w:t>1</w:t>
            </w:r>
            <w:r w:rsidRPr="00A74893">
              <w:rPr>
                <w:rFonts w:ascii="Times New Roman" w:hAnsi="Times New Roman" w:cs="Times New Roman"/>
                <w:szCs w:val="22"/>
              </w:rPr>
              <w:t>.</w:t>
            </w:r>
          </w:p>
        </w:tc>
        <w:tc>
          <w:tcPr>
            <w:tcW w:w="4779" w:type="pct"/>
            <w:gridSpan w:val="9"/>
          </w:tcPr>
          <w:p w:rsidR="00750F99" w:rsidRPr="00A74893" w:rsidRDefault="00750F99" w:rsidP="00117DE9">
            <w:pPr>
              <w:adjustRightInd w:val="0"/>
            </w:pPr>
            <w:r w:rsidRPr="00A74893">
              <w:rPr>
                <w:sz w:val="22"/>
                <w:szCs w:val="22"/>
              </w:rPr>
              <w:t>Рынок выполнения работ по содержанию и текущему ремонту общего имущества собственников помещений в многоквартирном доме</w:t>
            </w:r>
          </w:p>
        </w:tc>
      </w:tr>
      <w:tr w:rsidR="00750F99" w:rsidRPr="00A74893" w:rsidTr="00117DE9">
        <w:trPr>
          <w:trHeight w:val="20"/>
        </w:trPr>
        <w:tc>
          <w:tcPr>
            <w:tcW w:w="221" w:type="pct"/>
            <w:vMerge/>
          </w:tcPr>
          <w:p w:rsidR="00750F99" w:rsidRPr="00A74893" w:rsidRDefault="00750F99" w:rsidP="00117DE9">
            <w:pPr>
              <w:pStyle w:val="ConsPlusNormal"/>
              <w:jc w:val="center"/>
              <w:rPr>
                <w:rFonts w:ascii="Times New Roman" w:hAnsi="Times New Roman" w:cs="Times New Roman"/>
                <w:szCs w:val="22"/>
              </w:rPr>
            </w:pPr>
          </w:p>
        </w:tc>
        <w:tc>
          <w:tcPr>
            <w:tcW w:w="4779" w:type="pct"/>
            <w:gridSpan w:val="9"/>
          </w:tcPr>
          <w:p w:rsidR="00750F99" w:rsidRPr="00A74893" w:rsidRDefault="00750F99" w:rsidP="00117DE9">
            <w:pPr>
              <w:adjustRightInd w:val="0"/>
            </w:pPr>
            <w:r w:rsidRPr="00A74893">
              <w:rPr>
                <w:sz w:val="22"/>
                <w:szCs w:val="22"/>
              </w:rPr>
              <w:t>Оценка текущего состояния:</w:t>
            </w:r>
          </w:p>
          <w:p w:rsidR="008772BE" w:rsidRPr="00A74893" w:rsidRDefault="008772BE"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 </w:t>
            </w:r>
          </w:p>
          <w:p w:rsidR="008772BE" w:rsidRPr="00A74893" w:rsidRDefault="008772BE"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1) непосредственное управление собственниками помещений в МКД, количество квартир в котором составляет не более чем 30; </w:t>
            </w:r>
          </w:p>
          <w:p w:rsidR="008772BE" w:rsidRPr="00A74893" w:rsidRDefault="008772BE"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2) управление товариществом собственников жилья либо жилищным кооперативом или иным специализированным потребительским кооперативом; </w:t>
            </w:r>
          </w:p>
          <w:p w:rsidR="008772BE" w:rsidRPr="00A74893" w:rsidRDefault="008772BE"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3) управление управляющей организацией. </w:t>
            </w:r>
          </w:p>
          <w:p w:rsidR="008772BE" w:rsidRPr="00A74893" w:rsidRDefault="008772BE" w:rsidP="008772BE">
            <w:pPr>
              <w:pStyle w:val="ConsPlusNormal"/>
              <w:jc w:val="both"/>
              <w:rPr>
                <w:rFonts w:ascii="Times New Roman" w:hAnsi="Times New Roman" w:cs="Times New Roman"/>
                <w:szCs w:val="22"/>
              </w:rPr>
            </w:pPr>
            <w:r w:rsidRPr="00A74893">
              <w:rPr>
                <w:rFonts w:ascii="Times New Roman" w:hAnsi="Times New Roman" w:cs="Times New Roman"/>
                <w:szCs w:val="22"/>
              </w:rPr>
              <w:t xml:space="preserve">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 </w:t>
            </w:r>
          </w:p>
          <w:p w:rsidR="00750F99" w:rsidRPr="00A74893" w:rsidRDefault="008772BE" w:rsidP="008772BE">
            <w:pPr>
              <w:adjustRightInd w:val="0"/>
            </w:pPr>
            <w:r w:rsidRPr="00A74893">
              <w:rPr>
                <w:sz w:val="22"/>
                <w:szCs w:val="22"/>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01.01.2020 доля площади помещений в МКД, находящихся в управлении управляющих организаций только частной формы собственности, составила 100%. В соответствии с формой  № 22-ЖКХ (реформа) на 01.01.2020 отсутствуют МКД, в отношении которых способ управления не выбран собственниками и не определен по результатам открытого конкурса.</w:t>
            </w:r>
          </w:p>
          <w:p w:rsidR="00D2034C" w:rsidRPr="00A74893" w:rsidRDefault="00D2034C" w:rsidP="008772BE">
            <w:pPr>
              <w:adjustRightInd w:val="0"/>
            </w:pPr>
          </w:p>
        </w:tc>
      </w:tr>
      <w:tr w:rsidR="00750F99" w:rsidRPr="00A74893" w:rsidTr="00117DE9">
        <w:trPr>
          <w:trHeight w:val="20"/>
        </w:trPr>
        <w:tc>
          <w:tcPr>
            <w:tcW w:w="221" w:type="pct"/>
            <w:vMerge/>
          </w:tcPr>
          <w:p w:rsidR="00750F99" w:rsidRPr="00A74893" w:rsidRDefault="00750F99" w:rsidP="00117DE9">
            <w:pPr>
              <w:pStyle w:val="ConsPlusNormal"/>
              <w:jc w:val="center"/>
              <w:rPr>
                <w:rFonts w:ascii="Times New Roman" w:hAnsi="Times New Roman" w:cs="Times New Roman"/>
                <w:szCs w:val="22"/>
              </w:rPr>
            </w:pPr>
          </w:p>
        </w:tc>
        <w:tc>
          <w:tcPr>
            <w:tcW w:w="2216" w:type="pct"/>
            <w:gridSpan w:val="4"/>
          </w:tcPr>
          <w:p w:rsidR="00750F99" w:rsidRPr="00A74893" w:rsidRDefault="00750F99" w:rsidP="00117DE9">
            <w:pPr>
              <w:adjustRightInd w:val="0"/>
            </w:pPr>
            <w:r w:rsidRPr="00A74893">
              <w:rPr>
                <w:sz w:val="22"/>
                <w:szCs w:val="22"/>
              </w:rPr>
              <w:t>Ключевой целевой показатель эффективности:</w:t>
            </w:r>
          </w:p>
          <w:p w:rsidR="00750F99" w:rsidRPr="00A74893" w:rsidRDefault="00750F99" w:rsidP="00117DE9">
            <w:pPr>
              <w:adjustRightInd w:val="0"/>
              <w:jc w:val="both"/>
            </w:pPr>
            <w:r w:rsidRPr="00A74893">
              <w:rPr>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rsidR="00750F99" w:rsidRPr="00A74893" w:rsidRDefault="008772BE" w:rsidP="00117DE9">
            <w:pPr>
              <w:adjustRightInd w:val="0"/>
              <w:jc w:val="center"/>
            </w:pPr>
            <w:r w:rsidRPr="00A74893">
              <w:rPr>
                <w:sz w:val="22"/>
                <w:szCs w:val="22"/>
              </w:rPr>
              <w:t>100</w:t>
            </w:r>
          </w:p>
        </w:tc>
        <w:tc>
          <w:tcPr>
            <w:tcW w:w="354" w:type="pct"/>
          </w:tcPr>
          <w:p w:rsidR="00750F99" w:rsidRPr="00A74893" w:rsidRDefault="008772BE" w:rsidP="00117DE9">
            <w:pPr>
              <w:adjustRightInd w:val="0"/>
              <w:jc w:val="center"/>
            </w:pPr>
            <w:r w:rsidRPr="00A74893">
              <w:rPr>
                <w:sz w:val="22"/>
                <w:szCs w:val="22"/>
              </w:rPr>
              <w:t>100</w:t>
            </w:r>
          </w:p>
        </w:tc>
        <w:tc>
          <w:tcPr>
            <w:tcW w:w="357" w:type="pct"/>
          </w:tcPr>
          <w:p w:rsidR="00750F99" w:rsidRPr="00A74893" w:rsidRDefault="008772BE" w:rsidP="00117DE9">
            <w:pPr>
              <w:adjustRightInd w:val="0"/>
              <w:jc w:val="center"/>
            </w:pPr>
            <w:r w:rsidRPr="00A74893">
              <w:rPr>
                <w:sz w:val="22"/>
                <w:szCs w:val="22"/>
              </w:rPr>
              <w:t>100</w:t>
            </w:r>
          </w:p>
        </w:tc>
        <w:tc>
          <w:tcPr>
            <w:tcW w:w="355" w:type="pct"/>
          </w:tcPr>
          <w:p w:rsidR="00750F99" w:rsidRPr="00A74893" w:rsidRDefault="008772BE" w:rsidP="00117DE9">
            <w:pPr>
              <w:adjustRightInd w:val="0"/>
              <w:jc w:val="center"/>
            </w:pPr>
            <w:r w:rsidRPr="00A74893">
              <w:rPr>
                <w:sz w:val="22"/>
                <w:szCs w:val="22"/>
              </w:rPr>
              <w:t>100</w:t>
            </w:r>
          </w:p>
        </w:tc>
        <w:tc>
          <w:tcPr>
            <w:tcW w:w="1147" w:type="pct"/>
          </w:tcPr>
          <w:p w:rsidR="00750F99" w:rsidRPr="00A74893" w:rsidRDefault="008772BE" w:rsidP="00117DE9">
            <w:pPr>
              <w:adjustRightInd w:val="0"/>
            </w:pPr>
            <w:r w:rsidRPr="00A74893">
              <w:rPr>
                <w:sz w:val="22"/>
                <w:szCs w:val="22"/>
              </w:rPr>
              <w:t>Управление жилищно-коммунального хозяйства, строительства, транспорта, связи и экологии</w:t>
            </w:r>
            <w:r w:rsidR="00D2034C" w:rsidRPr="00A74893">
              <w:rPr>
                <w:sz w:val="22"/>
                <w:szCs w:val="22"/>
              </w:rPr>
              <w:t xml:space="preserve"> администрации ЧРМО</w:t>
            </w:r>
          </w:p>
        </w:tc>
      </w:tr>
      <w:tr w:rsidR="00750F99" w:rsidRPr="00A74893" w:rsidTr="00F825DF">
        <w:trPr>
          <w:trHeight w:val="1927"/>
        </w:trPr>
        <w:tc>
          <w:tcPr>
            <w:tcW w:w="221" w:type="pct"/>
          </w:tcPr>
          <w:p w:rsidR="00750F99" w:rsidRPr="00A74893" w:rsidRDefault="00750F99" w:rsidP="00A93AC7">
            <w:pPr>
              <w:pStyle w:val="ConsPlusNormal"/>
              <w:jc w:val="center"/>
              <w:rPr>
                <w:rFonts w:ascii="Times New Roman" w:hAnsi="Times New Roman" w:cs="Times New Roman"/>
                <w:szCs w:val="22"/>
              </w:rPr>
            </w:pPr>
            <w:r w:rsidRPr="00A74893">
              <w:rPr>
                <w:rFonts w:ascii="Times New Roman" w:hAnsi="Times New Roman" w:cs="Times New Roman"/>
                <w:szCs w:val="22"/>
              </w:rPr>
              <w:lastRenderedPageBreak/>
              <w:t>1.</w:t>
            </w:r>
            <w:r w:rsidR="00A93AC7" w:rsidRPr="00A74893">
              <w:rPr>
                <w:rFonts w:ascii="Times New Roman" w:hAnsi="Times New Roman" w:cs="Times New Roman"/>
                <w:szCs w:val="22"/>
              </w:rPr>
              <w:t>1</w:t>
            </w:r>
            <w:r w:rsidRPr="00A74893">
              <w:rPr>
                <w:rFonts w:ascii="Times New Roman" w:hAnsi="Times New Roman" w:cs="Times New Roman"/>
                <w:szCs w:val="22"/>
              </w:rPr>
              <w:t>.1.</w:t>
            </w:r>
          </w:p>
        </w:tc>
        <w:tc>
          <w:tcPr>
            <w:tcW w:w="975" w:type="pct"/>
          </w:tcPr>
          <w:p w:rsidR="00750F99" w:rsidRPr="00A74893" w:rsidRDefault="00750F99" w:rsidP="00117DE9">
            <w:pPr>
              <w:adjustRightInd w:val="0"/>
            </w:pPr>
            <w:r w:rsidRPr="00A74893">
              <w:rPr>
                <w:sz w:val="22"/>
                <w:szCs w:val="22"/>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43" w:type="pct"/>
          </w:tcPr>
          <w:p w:rsidR="00750F99" w:rsidRPr="00A74893" w:rsidRDefault="00750F99" w:rsidP="00117DE9">
            <w:pPr>
              <w:adjustRightInd w:val="0"/>
              <w:jc w:val="center"/>
            </w:pPr>
            <w:r w:rsidRPr="00A74893">
              <w:rPr>
                <w:sz w:val="22"/>
                <w:szCs w:val="22"/>
              </w:rPr>
              <w:t>Ежегодно</w:t>
            </w:r>
          </w:p>
        </w:tc>
        <w:tc>
          <w:tcPr>
            <w:tcW w:w="798" w:type="pct"/>
            <w:gridSpan w:val="2"/>
          </w:tcPr>
          <w:p w:rsidR="00750F99" w:rsidRPr="00A74893" w:rsidRDefault="00750F99" w:rsidP="00117DE9">
            <w:pPr>
              <w:adjustRightInd w:val="0"/>
            </w:pPr>
            <w:r w:rsidRPr="00A74893">
              <w:rPr>
                <w:sz w:val="22"/>
                <w:szCs w:val="22"/>
              </w:rPr>
              <w:t>Доля МКД, в отношении которых способ управления не выбран собственниками и не определен органами местного самоуправления, %</w:t>
            </w:r>
          </w:p>
        </w:tc>
        <w:tc>
          <w:tcPr>
            <w:tcW w:w="350" w:type="pct"/>
          </w:tcPr>
          <w:p w:rsidR="00750F99" w:rsidRPr="00A74893" w:rsidRDefault="008772BE" w:rsidP="00117DE9">
            <w:pPr>
              <w:adjustRightInd w:val="0"/>
              <w:jc w:val="center"/>
            </w:pPr>
            <w:r w:rsidRPr="00A74893">
              <w:rPr>
                <w:sz w:val="22"/>
                <w:szCs w:val="22"/>
              </w:rPr>
              <w:t>0</w:t>
            </w:r>
          </w:p>
        </w:tc>
        <w:tc>
          <w:tcPr>
            <w:tcW w:w="354" w:type="pct"/>
          </w:tcPr>
          <w:p w:rsidR="00750F99" w:rsidRPr="00A74893" w:rsidRDefault="008772BE" w:rsidP="00117DE9">
            <w:pPr>
              <w:adjustRightInd w:val="0"/>
              <w:jc w:val="center"/>
            </w:pPr>
            <w:r w:rsidRPr="00A74893">
              <w:rPr>
                <w:sz w:val="22"/>
                <w:szCs w:val="22"/>
              </w:rPr>
              <w:t>0</w:t>
            </w:r>
          </w:p>
        </w:tc>
        <w:tc>
          <w:tcPr>
            <w:tcW w:w="357" w:type="pct"/>
          </w:tcPr>
          <w:p w:rsidR="00750F99" w:rsidRPr="00A74893" w:rsidRDefault="008772BE" w:rsidP="00117DE9">
            <w:pPr>
              <w:adjustRightInd w:val="0"/>
              <w:jc w:val="center"/>
            </w:pPr>
            <w:r w:rsidRPr="00A74893">
              <w:rPr>
                <w:sz w:val="22"/>
                <w:szCs w:val="22"/>
              </w:rPr>
              <w:t>0</w:t>
            </w:r>
          </w:p>
        </w:tc>
        <w:tc>
          <w:tcPr>
            <w:tcW w:w="355" w:type="pct"/>
          </w:tcPr>
          <w:p w:rsidR="00750F99" w:rsidRPr="00A74893" w:rsidRDefault="008772BE" w:rsidP="00117DE9">
            <w:pPr>
              <w:adjustRightInd w:val="0"/>
              <w:jc w:val="center"/>
            </w:pPr>
            <w:r w:rsidRPr="00A74893">
              <w:rPr>
                <w:sz w:val="22"/>
                <w:szCs w:val="22"/>
              </w:rPr>
              <w:t>0</w:t>
            </w:r>
          </w:p>
        </w:tc>
        <w:tc>
          <w:tcPr>
            <w:tcW w:w="1147" w:type="pct"/>
          </w:tcPr>
          <w:p w:rsidR="00750F99" w:rsidRPr="00A74893" w:rsidRDefault="008772BE" w:rsidP="00117DE9">
            <w:pPr>
              <w:adjustRightInd w:val="0"/>
            </w:pPr>
            <w:r w:rsidRPr="00A74893">
              <w:rPr>
                <w:sz w:val="22"/>
                <w:szCs w:val="22"/>
              </w:rPr>
              <w:t>Управление жилищно-коммунального хозяйства, строительства, транспорта, связи и экологии</w:t>
            </w:r>
            <w:r w:rsidR="00D2034C" w:rsidRPr="00A74893">
              <w:rPr>
                <w:sz w:val="22"/>
                <w:szCs w:val="22"/>
              </w:rPr>
              <w:t xml:space="preserve"> администрации ЧРМО</w:t>
            </w:r>
          </w:p>
        </w:tc>
      </w:tr>
      <w:tr w:rsidR="008772BE" w:rsidRPr="00A74893" w:rsidTr="00117DE9">
        <w:trPr>
          <w:trHeight w:val="195"/>
        </w:trPr>
        <w:tc>
          <w:tcPr>
            <w:tcW w:w="221" w:type="pct"/>
          </w:tcPr>
          <w:p w:rsidR="008772BE" w:rsidRPr="00A74893" w:rsidRDefault="008772BE" w:rsidP="004A36C7">
            <w:pPr>
              <w:pStyle w:val="ConsPlusNormal"/>
              <w:jc w:val="center"/>
              <w:rPr>
                <w:rFonts w:ascii="Times New Roman" w:hAnsi="Times New Roman" w:cs="Times New Roman"/>
                <w:szCs w:val="22"/>
              </w:rPr>
            </w:pPr>
            <w:r w:rsidRPr="00A74893">
              <w:rPr>
                <w:rFonts w:ascii="Times New Roman" w:hAnsi="Times New Roman" w:cs="Times New Roman"/>
                <w:szCs w:val="22"/>
              </w:rPr>
              <w:t>1.</w:t>
            </w:r>
            <w:r w:rsidR="004A36C7" w:rsidRPr="00A74893">
              <w:rPr>
                <w:rFonts w:ascii="Times New Roman" w:hAnsi="Times New Roman" w:cs="Times New Roman"/>
                <w:szCs w:val="22"/>
              </w:rPr>
              <w:t>1</w:t>
            </w:r>
            <w:r w:rsidRPr="00A74893">
              <w:rPr>
                <w:rFonts w:ascii="Times New Roman" w:hAnsi="Times New Roman" w:cs="Times New Roman"/>
                <w:szCs w:val="22"/>
              </w:rPr>
              <w:t>.</w:t>
            </w:r>
            <w:r w:rsidR="004A36C7" w:rsidRPr="00A74893">
              <w:rPr>
                <w:rFonts w:ascii="Times New Roman" w:hAnsi="Times New Roman" w:cs="Times New Roman"/>
                <w:szCs w:val="22"/>
              </w:rPr>
              <w:t>2</w:t>
            </w:r>
          </w:p>
        </w:tc>
        <w:tc>
          <w:tcPr>
            <w:tcW w:w="975" w:type="pct"/>
          </w:tcPr>
          <w:p w:rsidR="008772BE" w:rsidRPr="00A74893" w:rsidRDefault="008772BE" w:rsidP="00117DE9">
            <w:pPr>
              <w:adjustRightInd w:val="0"/>
            </w:pPr>
            <w:r w:rsidRPr="00A74893">
              <w:rPr>
                <w:sz w:val="22"/>
                <w:szCs w:val="22"/>
              </w:rPr>
              <w:t>Проведение мониторинга наличия у управляющих организаций лицензий на осуществление деятельности МКД</w:t>
            </w:r>
          </w:p>
        </w:tc>
        <w:tc>
          <w:tcPr>
            <w:tcW w:w="443" w:type="pct"/>
          </w:tcPr>
          <w:p w:rsidR="008772BE" w:rsidRPr="00A74893" w:rsidRDefault="008772BE" w:rsidP="00117DE9">
            <w:pPr>
              <w:adjustRightInd w:val="0"/>
              <w:jc w:val="center"/>
            </w:pPr>
            <w:r w:rsidRPr="00A74893">
              <w:rPr>
                <w:sz w:val="22"/>
                <w:szCs w:val="22"/>
              </w:rPr>
              <w:t>Ежегодно</w:t>
            </w:r>
          </w:p>
        </w:tc>
        <w:tc>
          <w:tcPr>
            <w:tcW w:w="798" w:type="pct"/>
            <w:gridSpan w:val="2"/>
          </w:tcPr>
          <w:p w:rsidR="008772BE" w:rsidRPr="00A74893" w:rsidRDefault="008772BE" w:rsidP="00117DE9">
            <w:pPr>
              <w:adjustRightInd w:val="0"/>
            </w:pPr>
            <w:r w:rsidRPr="00A74893">
              <w:rPr>
                <w:sz w:val="22"/>
                <w:szCs w:val="22"/>
              </w:rPr>
              <w:t>Доля управляющих организаций, получивших лицензии на осуществлению деятельности по управлению МКД, %</w:t>
            </w:r>
          </w:p>
        </w:tc>
        <w:tc>
          <w:tcPr>
            <w:tcW w:w="350" w:type="pct"/>
          </w:tcPr>
          <w:p w:rsidR="008772BE" w:rsidRPr="00A74893" w:rsidRDefault="008772BE" w:rsidP="00117DE9">
            <w:pPr>
              <w:adjustRightInd w:val="0"/>
              <w:jc w:val="center"/>
            </w:pPr>
            <w:r w:rsidRPr="00A74893">
              <w:rPr>
                <w:sz w:val="22"/>
                <w:szCs w:val="22"/>
              </w:rPr>
              <w:t>100</w:t>
            </w:r>
          </w:p>
        </w:tc>
        <w:tc>
          <w:tcPr>
            <w:tcW w:w="354" w:type="pct"/>
          </w:tcPr>
          <w:p w:rsidR="008772BE" w:rsidRPr="00A74893" w:rsidRDefault="008772BE" w:rsidP="00117DE9">
            <w:pPr>
              <w:adjustRightInd w:val="0"/>
              <w:jc w:val="center"/>
            </w:pPr>
            <w:r w:rsidRPr="00A74893">
              <w:rPr>
                <w:sz w:val="22"/>
                <w:szCs w:val="22"/>
              </w:rPr>
              <w:t>100</w:t>
            </w:r>
          </w:p>
        </w:tc>
        <w:tc>
          <w:tcPr>
            <w:tcW w:w="357" w:type="pct"/>
          </w:tcPr>
          <w:p w:rsidR="008772BE" w:rsidRPr="00A74893" w:rsidRDefault="008772BE" w:rsidP="00117DE9">
            <w:pPr>
              <w:adjustRightInd w:val="0"/>
              <w:jc w:val="center"/>
            </w:pPr>
            <w:r w:rsidRPr="00A74893">
              <w:rPr>
                <w:sz w:val="22"/>
                <w:szCs w:val="22"/>
              </w:rPr>
              <w:t>100</w:t>
            </w:r>
          </w:p>
        </w:tc>
        <w:tc>
          <w:tcPr>
            <w:tcW w:w="355" w:type="pct"/>
          </w:tcPr>
          <w:p w:rsidR="008772BE" w:rsidRPr="00A74893" w:rsidRDefault="008772BE" w:rsidP="00117DE9">
            <w:pPr>
              <w:adjustRightInd w:val="0"/>
              <w:jc w:val="center"/>
            </w:pPr>
            <w:r w:rsidRPr="00A74893">
              <w:rPr>
                <w:sz w:val="22"/>
                <w:szCs w:val="22"/>
              </w:rPr>
              <w:t>100</w:t>
            </w:r>
          </w:p>
        </w:tc>
        <w:tc>
          <w:tcPr>
            <w:tcW w:w="1147" w:type="pct"/>
          </w:tcPr>
          <w:p w:rsidR="008772BE" w:rsidRPr="00A74893" w:rsidRDefault="008772BE" w:rsidP="00117DE9">
            <w:pPr>
              <w:adjustRightInd w:val="0"/>
            </w:pPr>
            <w:r w:rsidRPr="00A74893">
              <w:rPr>
                <w:sz w:val="22"/>
                <w:szCs w:val="22"/>
              </w:rPr>
              <w:t>Управление жилищно-коммунального хозяйства, строительства, транспорта, связи и экологии</w:t>
            </w:r>
            <w:r w:rsidR="00D2034C" w:rsidRPr="00A74893">
              <w:rPr>
                <w:sz w:val="22"/>
                <w:szCs w:val="22"/>
              </w:rPr>
              <w:t xml:space="preserve"> администрации ЧРМО</w:t>
            </w:r>
          </w:p>
        </w:tc>
      </w:tr>
      <w:tr w:rsidR="00750F99" w:rsidRPr="00A74893" w:rsidTr="00117DE9">
        <w:trPr>
          <w:trHeight w:val="20"/>
        </w:trPr>
        <w:tc>
          <w:tcPr>
            <w:tcW w:w="5000" w:type="pct"/>
            <w:gridSpan w:val="10"/>
          </w:tcPr>
          <w:p w:rsidR="00750F99" w:rsidRPr="00A74893" w:rsidRDefault="00750F99" w:rsidP="00117DE9">
            <w:pPr>
              <w:pStyle w:val="ConsPlusNormal"/>
              <w:keepNext/>
              <w:jc w:val="center"/>
              <w:rPr>
                <w:rFonts w:ascii="Times New Roman" w:hAnsi="Times New Roman" w:cs="Times New Roman"/>
                <w:szCs w:val="22"/>
              </w:rPr>
            </w:pPr>
            <w:r w:rsidRPr="00A74893">
              <w:rPr>
                <w:rFonts w:ascii="Times New Roman" w:hAnsi="Times New Roman" w:cs="Times New Roman"/>
                <w:szCs w:val="22"/>
              </w:rPr>
              <w:t>Раздел 2. План мероприятий по развитию конкуренции на товарных рынках, установленных в дополнение</w:t>
            </w:r>
          </w:p>
          <w:p w:rsidR="00750F99" w:rsidRPr="00A74893" w:rsidRDefault="00750F99" w:rsidP="007801C4">
            <w:pPr>
              <w:pStyle w:val="ConsPlusNormal"/>
              <w:keepNext/>
              <w:jc w:val="center"/>
              <w:rPr>
                <w:rFonts w:ascii="Times New Roman" w:hAnsi="Times New Roman" w:cs="Times New Roman"/>
                <w:szCs w:val="22"/>
              </w:rPr>
            </w:pPr>
            <w:r w:rsidRPr="00A74893">
              <w:rPr>
                <w:rFonts w:ascii="Times New Roman" w:hAnsi="Times New Roman" w:cs="Times New Roman"/>
                <w:szCs w:val="22"/>
              </w:rPr>
              <w:t>к утвержденным распоряжением Правительства Российской Федерации от 17 апреля 2019 года № 768-р товарным рынкам</w:t>
            </w:r>
          </w:p>
        </w:tc>
      </w:tr>
      <w:tr w:rsidR="00750F99" w:rsidRPr="00A74893" w:rsidTr="00117DE9">
        <w:trPr>
          <w:trHeight w:val="20"/>
        </w:trPr>
        <w:tc>
          <w:tcPr>
            <w:tcW w:w="221" w:type="pct"/>
            <w:vMerge w:val="restart"/>
          </w:tcPr>
          <w:p w:rsidR="00750F99" w:rsidRPr="00A74893" w:rsidRDefault="00750F99" w:rsidP="00A93AC7">
            <w:pPr>
              <w:pStyle w:val="ConsPlusNormal"/>
              <w:jc w:val="center"/>
              <w:rPr>
                <w:rFonts w:ascii="Times New Roman" w:hAnsi="Times New Roman" w:cs="Times New Roman"/>
                <w:szCs w:val="22"/>
              </w:rPr>
            </w:pPr>
            <w:r w:rsidRPr="00A74893">
              <w:rPr>
                <w:rFonts w:ascii="Times New Roman" w:hAnsi="Times New Roman" w:cs="Times New Roman"/>
                <w:szCs w:val="22"/>
              </w:rPr>
              <w:t>2.</w:t>
            </w:r>
            <w:r w:rsidR="00A93AC7" w:rsidRPr="00A74893">
              <w:rPr>
                <w:rFonts w:ascii="Times New Roman" w:hAnsi="Times New Roman" w:cs="Times New Roman"/>
                <w:szCs w:val="22"/>
              </w:rPr>
              <w:t>1</w:t>
            </w:r>
            <w:r w:rsidRPr="00A74893">
              <w:rPr>
                <w:rFonts w:ascii="Times New Roman" w:hAnsi="Times New Roman" w:cs="Times New Roman"/>
                <w:szCs w:val="22"/>
              </w:rPr>
              <w:t>.</w:t>
            </w:r>
          </w:p>
        </w:tc>
        <w:tc>
          <w:tcPr>
            <w:tcW w:w="4779" w:type="pct"/>
            <w:gridSpan w:val="9"/>
          </w:tcPr>
          <w:p w:rsidR="007801C4" w:rsidRPr="00A74893" w:rsidRDefault="00750F99" w:rsidP="007801C4">
            <w:pPr>
              <w:adjustRightInd w:val="0"/>
            </w:pPr>
            <w:r w:rsidRPr="00A74893">
              <w:rPr>
                <w:sz w:val="22"/>
                <w:szCs w:val="22"/>
              </w:rPr>
              <w:t>Сфера розничной торговли</w:t>
            </w:r>
          </w:p>
        </w:tc>
      </w:tr>
      <w:tr w:rsidR="00750F99" w:rsidRPr="00A74893" w:rsidTr="00117DE9">
        <w:trPr>
          <w:trHeight w:val="20"/>
        </w:trPr>
        <w:tc>
          <w:tcPr>
            <w:tcW w:w="221" w:type="pct"/>
            <w:vMerge/>
          </w:tcPr>
          <w:p w:rsidR="00750F99" w:rsidRPr="00A74893" w:rsidRDefault="00750F99" w:rsidP="00117DE9">
            <w:pPr>
              <w:pStyle w:val="ConsPlusNormal"/>
              <w:jc w:val="center"/>
              <w:rPr>
                <w:rFonts w:ascii="Times New Roman" w:hAnsi="Times New Roman" w:cs="Times New Roman"/>
                <w:szCs w:val="22"/>
              </w:rPr>
            </w:pPr>
          </w:p>
        </w:tc>
        <w:tc>
          <w:tcPr>
            <w:tcW w:w="4779" w:type="pct"/>
            <w:gridSpan w:val="9"/>
          </w:tcPr>
          <w:p w:rsidR="00750F99" w:rsidRPr="00A74893" w:rsidRDefault="00750F99" w:rsidP="00117DE9">
            <w:r w:rsidRPr="00A74893">
              <w:rPr>
                <w:sz w:val="22"/>
                <w:szCs w:val="22"/>
              </w:rPr>
              <w:t>Оценка текущего состояния:</w:t>
            </w:r>
          </w:p>
          <w:p w:rsidR="007801C4" w:rsidRPr="00A74893" w:rsidRDefault="007801C4" w:rsidP="007801C4">
            <w:pPr>
              <w:pStyle w:val="ConsPlusNormal"/>
              <w:jc w:val="both"/>
              <w:rPr>
                <w:rFonts w:ascii="Times New Roman" w:hAnsi="Times New Roman" w:cs="Times New Roman"/>
                <w:szCs w:val="22"/>
              </w:rPr>
            </w:pPr>
            <w:r w:rsidRPr="00A74893">
              <w:rPr>
                <w:rFonts w:ascii="Times New Roman" w:hAnsi="Times New Roman" w:cs="Times New Roman"/>
                <w:szCs w:val="22"/>
              </w:rPr>
              <w:t>Сфера розничной торговли Черемховского районного муниципального образования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На конец 2018 года товаропроводящая сеть  района состояла из 202 предприятий розничной торговли (11 торговых центров, 29 непродовольственных магазинов, 31 продовольственный магазин, 120 универсальных магазина, 9 павильонов, 2 объекта мобильной торговли).</w:t>
            </w:r>
          </w:p>
          <w:p w:rsidR="007801C4" w:rsidRPr="00A74893" w:rsidRDefault="007801C4" w:rsidP="007801C4">
            <w:pPr>
              <w:pStyle w:val="ConsPlusNormal"/>
              <w:jc w:val="both"/>
              <w:rPr>
                <w:rFonts w:ascii="Times New Roman" w:hAnsi="Times New Roman" w:cs="Times New Roman"/>
                <w:szCs w:val="22"/>
              </w:rPr>
            </w:pPr>
            <w:r w:rsidRPr="00A74893">
              <w:rPr>
                <w:rFonts w:ascii="Times New Roman" w:hAnsi="Times New Roman" w:cs="Times New Roman"/>
                <w:szCs w:val="22"/>
              </w:rPr>
              <w:t xml:space="preserve">Продолжилось развитие сети фирменной торговли  СХ ПАО Белореченское, а также нового для района формата торговли – продовольственных дискаунтеров  </w:t>
            </w:r>
            <w:r w:rsidRPr="00A74893">
              <w:rPr>
                <w:rFonts w:ascii="Times New Roman" w:hAnsi="Times New Roman" w:cs="Times New Roman"/>
                <w:szCs w:val="22"/>
              </w:rPr>
              <w:lastRenderedPageBreak/>
              <w:t>(«Хлеб Соль»). По состоянию на 01.01.2019 торговых площадей на территории района – 12 109,5 кв.м. Обеспеченность населения торговыми площадями составила 425,4 кв.м. на 1000 жителей. Кроме того в районе действуют ярмарочные площадки. За 2018 год проведено 67 ярмарок (8 сезонных, 50 ярмарок выходного дня; 9 праздничных).</w:t>
            </w:r>
            <w:r w:rsidRPr="00A74893">
              <w:rPr>
                <w:szCs w:val="22"/>
              </w:rPr>
              <w:t xml:space="preserve"> </w:t>
            </w:r>
            <w:r w:rsidRPr="00A74893">
              <w:rPr>
                <w:rFonts w:ascii="Times New Roman" w:hAnsi="Times New Roman" w:cs="Times New Roman"/>
                <w:szCs w:val="22"/>
              </w:rPr>
              <w:t>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w:t>
            </w:r>
            <w:r w:rsidRPr="00A74893">
              <w:rPr>
                <w:szCs w:val="22"/>
              </w:rPr>
              <w:t xml:space="preserve"> </w:t>
            </w:r>
            <w:r w:rsidRPr="00A74893">
              <w:rPr>
                <w:rFonts w:ascii="Times New Roman" w:hAnsi="Times New Roman" w:cs="Times New Roman"/>
                <w:szCs w:val="22"/>
              </w:rPr>
              <w:t>посредников по ценам ниже среднерыночных.</w:t>
            </w:r>
          </w:p>
          <w:p w:rsidR="007801C4" w:rsidRPr="00A74893" w:rsidRDefault="007801C4" w:rsidP="007801C4">
            <w:pPr>
              <w:pStyle w:val="ConsPlusNormal"/>
              <w:jc w:val="both"/>
              <w:rPr>
                <w:rFonts w:ascii="Times New Roman" w:hAnsi="Times New Roman" w:cs="Times New Roman"/>
                <w:szCs w:val="22"/>
              </w:rPr>
            </w:pPr>
            <w:r w:rsidRPr="00A74893">
              <w:rPr>
                <w:rFonts w:ascii="Times New Roman" w:hAnsi="Times New Roman" w:cs="Times New Roman"/>
                <w:szCs w:val="22"/>
              </w:rPr>
              <w:t>Все перечисленные факторы, способствовали развитию 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области в 2018 году товарооборот в Черемховском районе увеличился на 5,1% по сравнению с 2017 годом и составил 1 676,61 млн. руб.</w:t>
            </w:r>
          </w:p>
          <w:p w:rsidR="00750F99" w:rsidRPr="00A74893" w:rsidRDefault="007801C4" w:rsidP="002F01B2">
            <w:pPr>
              <w:adjustRightInd w:val="0"/>
              <w:jc w:val="both"/>
            </w:pPr>
            <w:r w:rsidRPr="00A74893">
              <w:rPr>
                <w:sz w:val="22"/>
                <w:szCs w:val="22"/>
              </w:rPr>
              <w:t>Несмотря на это, в сфере розничной торговли существуют проблемные вопросы. Так, наблюдается снижение торговых площадей. Прежде всего, это связано со снижением покупательской способности населения. Кроме того, удаленность отдельных населенных пунктов Черемховского района от центра также способствует сокращению торговых объектов и соответственно торговых площадей.</w:t>
            </w:r>
          </w:p>
        </w:tc>
      </w:tr>
      <w:tr w:rsidR="00750F99" w:rsidRPr="00A74893" w:rsidTr="00117DE9">
        <w:trPr>
          <w:trHeight w:val="20"/>
        </w:trPr>
        <w:tc>
          <w:tcPr>
            <w:tcW w:w="221" w:type="pct"/>
            <w:vMerge/>
          </w:tcPr>
          <w:p w:rsidR="00750F99" w:rsidRPr="00A74893" w:rsidRDefault="00750F99" w:rsidP="00117DE9">
            <w:pPr>
              <w:pStyle w:val="ConsPlusNormal"/>
              <w:jc w:val="center"/>
              <w:rPr>
                <w:rFonts w:ascii="Times New Roman" w:hAnsi="Times New Roman" w:cs="Times New Roman"/>
                <w:szCs w:val="22"/>
              </w:rPr>
            </w:pPr>
          </w:p>
        </w:tc>
        <w:tc>
          <w:tcPr>
            <w:tcW w:w="2216" w:type="pct"/>
            <w:gridSpan w:val="4"/>
          </w:tcPr>
          <w:p w:rsidR="00750F99" w:rsidRPr="00A74893" w:rsidRDefault="00750F99" w:rsidP="00117DE9">
            <w:pPr>
              <w:tabs>
                <w:tab w:val="left" w:pos="709"/>
                <w:tab w:val="left" w:pos="851"/>
              </w:tabs>
              <w:suppressAutoHyphens/>
              <w:jc w:val="both"/>
            </w:pPr>
            <w:r w:rsidRPr="00A74893">
              <w:rPr>
                <w:sz w:val="22"/>
                <w:szCs w:val="22"/>
              </w:rPr>
              <w:t>Ключевой целевой показатель эффективности:</w:t>
            </w:r>
          </w:p>
          <w:p w:rsidR="00750F99" w:rsidRPr="00A74893" w:rsidRDefault="00750F99" w:rsidP="00117DE9">
            <w:pPr>
              <w:jc w:val="both"/>
            </w:pPr>
            <w:r w:rsidRPr="00A74893">
              <w:rPr>
                <w:sz w:val="22"/>
                <w:szCs w:val="22"/>
              </w:rPr>
              <w:t>Доля хозяйствующих субъектов негосударственных форм собственности в общем обороте розничной торговли, %</w:t>
            </w:r>
          </w:p>
        </w:tc>
        <w:tc>
          <w:tcPr>
            <w:tcW w:w="350" w:type="pct"/>
          </w:tcPr>
          <w:p w:rsidR="00750F99" w:rsidRPr="00A74893" w:rsidRDefault="007801C4" w:rsidP="00117DE9">
            <w:pPr>
              <w:adjustRightInd w:val="0"/>
              <w:jc w:val="center"/>
            </w:pPr>
            <w:r w:rsidRPr="00A74893">
              <w:rPr>
                <w:sz w:val="22"/>
                <w:szCs w:val="22"/>
              </w:rPr>
              <w:t>100</w:t>
            </w:r>
          </w:p>
        </w:tc>
        <w:tc>
          <w:tcPr>
            <w:tcW w:w="354" w:type="pct"/>
          </w:tcPr>
          <w:p w:rsidR="00750F99" w:rsidRPr="00A74893" w:rsidRDefault="007801C4" w:rsidP="00117DE9">
            <w:pPr>
              <w:adjustRightInd w:val="0"/>
              <w:jc w:val="center"/>
            </w:pPr>
            <w:r w:rsidRPr="00A74893">
              <w:rPr>
                <w:sz w:val="22"/>
                <w:szCs w:val="22"/>
              </w:rPr>
              <w:t>100</w:t>
            </w:r>
          </w:p>
        </w:tc>
        <w:tc>
          <w:tcPr>
            <w:tcW w:w="357" w:type="pct"/>
          </w:tcPr>
          <w:p w:rsidR="00750F99" w:rsidRPr="00A74893" w:rsidRDefault="007801C4" w:rsidP="00117DE9">
            <w:pPr>
              <w:adjustRightInd w:val="0"/>
              <w:jc w:val="center"/>
            </w:pPr>
            <w:r w:rsidRPr="00A74893">
              <w:rPr>
                <w:sz w:val="22"/>
                <w:szCs w:val="22"/>
              </w:rPr>
              <w:t>100</w:t>
            </w:r>
          </w:p>
        </w:tc>
        <w:tc>
          <w:tcPr>
            <w:tcW w:w="355" w:type="pct"/>
          </w:tcPr>
          <w:p w:rsidR="00750F99" w:rsidRPr="00A74893" w:rsidRDefault="007801C4" w:rsidP="00117DE9">
            <w:pPr>
              <w:adjustRightInd w:val="0"/>
              <w:jc w:val="center"/>
            </w:pPr>
            <w:r w:rsidRPr="00A74893">
              <w:rPr>
                <w:sz w:val="22"/>
                <w:szCs w:val="22"/>
              </w:rPr>
              <w:t>100</w:t>
            </w:r>
          </w:p>
        </w:tc>
        <w:tc>
          <w:tcPr>
            <w:tcW w:w="1147" w:type="pct"/>
          </w:tcPr>
          <w:p w:rsidR="00750F99" w:rsidRPr="00A74893" w:rsidRDefault="007801C4" w:rsidP="00117DE9">
            <w:pPr>
              <w:adjustRightInd w:val="0"/>
            </w:pPr>
            <w:r w:rsidRPr="00A74893">
              <w:rPr>
                <w:sz w:val="22"/>
                <w:szCs w:val="22"/>
              </w:rPr>
              <w:t>Сектор развития торговли и бытового обслуживания отдела экономического прогнозирования и планирования</w:t>
            </w:r>
            <w:r w:rsidR="00D2034C" w:rsidRPr="00A74893">
              <w:rPr>
                <w:sz w:val="22"/>
                <w:szCs w:val="22"/>
              </w:rPr>
              <w:t xml:space="preserve"> администрации ЧРМО</w:t>
            </w:r>
          </w:p>
        </w:tc>
      </w:tr>
      <w:tr w:rsidR="00750F99" w:rsidRPr="00A74893" w:rsidTr="00117DE9">
        <w:trPr>
          <w:trHeight w:val="20"/>
        </w:trPr>
        <w:tc>
          <w:tcPr>
            <w:tcW w:w="221" w:type="pct"/>
            <w:tcBorders>
              <w:right w:val="single" w:sz="4" w:space="0" w:color="auto"/>
            </w:tcBorders>
          </w:tcPr>
          <w:p w:rsidR="00750F99" w:rsidRPr="00A74893" w:rsidRDefault="00750F99" w:rsidP="00A93AC7">
            <w:pPr>
              <w:pStyle w:val="ConsPlusNormal"/>
              <w:jc w:val="center"/>
              <w:rPr>
                <w:rFonts w:ascii="Times New Roman" w:hAnsi="Times New Roman" w:cs="Times New Roman"/>
                <w:szCs w:val="22"/>
              </w:rPr>
            </w:pPr>
            <w:r w:rsidRPr="00A74893">
              <w:rPr>
                <w:rFonts w:ascii="Times New Roman" w:hAnsi="Times New Roman" w:cs="Times New Roman"/>
                <w:szCs w:val="22"/>
              </w:rPr>
              <w:t>2.</w:t>
            </w:r>
            <w:r w:rsidR="00A93AC7" w:rsidRPr="00A74893">
              <w:rPr>
                <w:rFonts w:ascii="Times New Roman" w:hAnsi="Times New Roman" w:cs="Times New Roman"/>
                <w:szCs w:val="22"/>
              </w:rPr>
              <w:t>1</w:t>
            </w:r>
            <w:r w:rsidRPr="00A74893">
              <w:rPr>
                <w:rFonts w:ascii="Times New Roman" w:hAnsi="Times New Roman" w:cs="Times New Roman"/>
                <w:szCs w:val="22"/>
              </w:rPr>
              <w:t>.1.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750F99" w:rsidRPr="00A74893" w:rsidRDefault="00750F99" w:rsidP="00117DE9">
            <w:pPr>
              <w:adjustRightInd w:val="0"/>
            </w:pPr>
            <w:r w:rsidRPr="00A74893">
              <w:rPr>
                <w:rStyle w:val="2"/>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Pr>
          <w:p w:rsidR="00750F99" w:rsidRPr="00A74893" w:rsidRDefault="00750F99" w:rsidP="00117DE9">
            <w:pPr>
              <w:adjustRightInd w:val="0"/>
              <w:jc w:val="center"/>
            </w:pPr>
            <w:r w:rsidRPr="00A74893">
              <w:rPr>
                <w:rStyle w:val="2"/>
              </w:rPr>
              <w:t>Ежегодно</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750F99" w:rsidRPr="00A74893" w:rsidRDefault="00750F99" w:rsidP="002F01B2">
            <w:r w:rsidRPr="00A74893">
              <w:rPr>
                <w:rStyle w:val="2"/>
              </w:rPr>
              <w:t xml:space="preserve">Превышение норматива минимальной обеспеченности населения площадью стационарных торговых объектов в </w:t>
            </w:r>
            <w:r w:rsidR="002F01B2" w:rsidRPr="00A74893">
              <w:rPr>
                <w:rStyle w:val="2"/>
              </w:rPr>
              <w:t>Черемховском районном муниципальном образовании</w:t>
            </w:r>
            <w:r w:rsidRPr="00A74893">
              <w:rPr>
                <w:rStyle w:val="2"/>
              </w:rPr>
              <w:t>, %</w:t>
            </w:r>
          </w:p>
        </w:tc>
        <w:tc>
          <w:tcPr>
            <w:tcW w:w="350" w:type="pct"/>
          </w:tcPr>
          <w:p w:rsidR="00750F99" w:rsidRPr="00A74893" w:rsidRDefault="007801C4" w:rsidP="00117DE9">
            <w:pPr>
              <w:adjustRightInd w:val="0"/>
              <w:jc w:val="center"/>
            </w:pPr>
            <w:r w:rsidRPr="00A74893">
              <w:rPr>
                <w:sz w:val="22"/>
                <w:szCs w:val="22"/>
              </w:rPr>
              <w:t>117%</w:t>
            </w:r>
          </w:p>
        </w:tc>
        <w:tc>
          <w:tcPr>
            <w:tcW w:w="354" w:type="pct"/>
          </w:tcPr>
          <w:p w:rsidR="00750F99" w:rsidRPr="00A74893" w:rsidRDefault="007801C4" w:rsidP="00117DE9">
            <w:pPr>
              <w:adjustRightInd w:val="0"/>
              <w:jc w:val="center"/>
            </w:pPr>
            <w:r w:rsidRPr="00A74893">
              <w:rPr>
                <w:sz w:val="22"/>
                <w:szCs w:val="22"/>
              </w:rPr>
              <w:t>106,5%</w:t>
            </w:r>
          </w:p>
        </w:tc>
        <w:tc>
          <w:tcPr>
            <w:tcW w:w="357" w:type="pct"/>
          </w:tcPr>
          <w:p w:rsidR="00750F99" w:rsidRPr="00A74893" w:rsidRDefault="007801C4" w:rsidP="00117DE9">
            <w:pPr>
              <w:adjustRightInd w:val="0"/>
              <w:jc w:val="center"/>
            </w:pPr>
            <w:r w:rsidRPr="00A74893">
              <w:rPr>
                <w:sz w:val="22"/>
                <w:szCs w:val="22"/>
              </w:rPr>
              <w:t>108%</w:t>
            </w:r>
          </w:p>
        </w:tc>
        <w:tc>
          <w:tcPr>
            <w:tcW w:w="355" w:type="pct"/>
          </w:tcPr>
          <w:p w:rsidR="00750F99" w:rsidRPr="00A74893" w:rsidRDefault="007801C4" w:rsidP="00117DE9">
            <w:pPr>
              <w:adjustRightInd w:val="0"/>
              <w:jc w:val="center"/>
            </w:pPr>
            <w:r w:rsidRPr="00A74893">
              <w:rPr>
                <w:sz w:val="22"/>
                <w:szCs w:val="22"/>
              </w:rPr>
              <w:t>109%</w:t>
            </w:r>
          </w:p>
        </w:tc>
        <w:tc>
          <w:tcPr>
            <w:tcW w:w="1147" w:type="pct"/>
          </w:tcPr>
          <w:p w:rsidR="00750F99" w:rsidRPr="00A74893" w:rsidRDefault="007801C4" w:rsidP="00117DE9">
            <w:pPr>
              <w:adjustRightInd w:val="0"/>
            </w:pPr>
            <w:r w:rsidRPr="00A74893">
              <w:rPr>
                <w:sz w:val="22"/>
                <w:szCs w:val="22"/>
              </w:rPr>
              <w:t>Сектор развития торговли и бытового обслуживания отдела экономического прогнозирования и планирования</w:t>
            </w:r>
            <w:r w:rsidR="00D2034C" w:rsidRPr="00A74893">
              <w:rPr>
                <w:sz w:val="22"/>
                <w:szCs w:val="22"/>
              </w:rPr>
              <w:t xml:space="preserve"> администрации ЧРМО</w:t>
            </w:r>
          </w:p>
        </w:tc>
      </w:tr>
      <w:tr w:rsidR="00750F99" w:rsidRPr="00A74893" w:rsidTr="00117DE9">
        <w:trPr>
          <w:trHeight w:val="20"/>
        </w:trPr>
        <w:tc>
          <w:tcPr>
            <w:tcW w:w="5000" w:type="pct"/>
            <w:gridSpan w:val="10"/>
          </w:tcPr>
          <w:p w:rsidR="00750F99" w:rsidRPr="00A74893" w:rsidRDefault="00750F99" w:rsidP="002F01B2">
            <w:pPr>
              <w:pStyle w:val="ConsPlusNormal"/>
              <w:jc w:val="center"/>
              <w:rPr>
                <w:rFonts w:ascii="Times New Roman" w:hAnsi="Times New Roman" w:cs="Times New Roman"/>
                <w:szCs w:val="22"/>
              </w:rPr>
            </w:pPr>
            <w:r w:rsidRPr="00A74893">
              <w:rPr>
                <w:rFonts w:ascii="Times New Roman" w:hAnsi="Times New Roman" w:cs="Times New Roman"/>
                <w:szCs w:val="22"/>
              </w:rPr>
              <w:t>Раздел 3. Системные мероприятия по развитию конкуренции в Иркутской области, разработанные в рамках направлений,</w:t>
            </w:r>
            <w:r w:rsidRPr="00A74893">
              <w:rPr>
                <w:rFonts w:ascii="Times New Roman" w:hAnsi="Times New Roman" w:cs="Times New Roman"/>
                <w:szCs w:val="22"/>
              </w:rPr>
              <w:br/>
              <w:t>утвержденных распоряжением Правительства Российской Федерации от 17 апреля 2019 года № 768-р</w:t>
            </w:r>
          </w:p>
        </w:tc>
      </w:tr>
      <w:tr w:rsidR="00750F99" w:rsidRPr="00A74893" w:rsidTr="00117DE9">
        <w:trPr>
          <w:trHeight w:val="20"/>
        </w:trPr>
        <w:tc>
          <w:tcPr>
            <w:tcW w:w="221" w:type="pct"/>
          </w:tcPr>
          <w:p w:rsidR="00750F99" w:rsidRPr="00A74893" w:rsidRDefault="00750F99" w:rsidP="00A93AC7">
            <w:pPr>
              <w:pStyle w:val="ConsPlusNormal"/>
              <w:jc w:val="center"/>
              <w:rPr>
                <w:rFonts w:ascii="Times New Roman" w:hAnsi="Times New Roman" w:cs="Times New Roman"/>
                <w:szCs w:val="22"/>
              </w:rPr>
            </w:pPr>
            <w:r w:rsidRPr="00A74893">
              <w:rPr>
                <w:rFonts w:ascii="Times New Roman" w:hAnsi="Times New Roman" w:cs="Times New Roman"/>
                <w:szCs w:val="22"/>
              </w:rPr>
              <w:t>3.</w:t>
            </w:r>
            <w:r w:rsidR="00A93AC7" w:rsidRPr="00A74893">
              <w:rPr>
                <w:rFonts w:ascii="Times New Roman" w:hAnsi="Times New Roman" w:cs="Times New Roman"/>
                <w:szCs w:val="22"/>
              </w:rPr>
              <w:t>1</w:t>
            </w:r>
            <w:r w:rsidRPr="00A74893">
              <w:rPr>
                <w:rFonts w:ascii="Times New Roman" w:hAnsi="Times New Roman" w:cs="Times New Roman"/>
                <w:szCs w:val="22"/>
              </w:rPr>
              <w:t>.</w:t>
            </w:r>
          </w:p>
        </w:tc>
        <w:tc>
          <w:tcPr>
            <w:tcW w:w="4779" w:type="pct"/>
            <w:gridSpan w:val="9"/>
          </w:tcPr>
          <w:p w:rsidR="00750F99" w:rsidRPr="00A74893" w:rsidRDefault="006338A6" w:rsidP="004A36C7">
            <w:pPr>
              <w:adjustRightInd w:val="0"/>
            </w:pPr>
            <w:r w:rsidRPr="00A74893">
              <w:rPr>
                <w:rFonts w:ascii="yandex-sans" w:hAnsi="yandex-sans"/>
                <w:color w:val="000000"/>
                <w:sz w:val="22"/>
                <w:szCs w:val="22"/>
                <w:shd w:val="clear" w:color="auto" w:fill="FFFFFF"/>
              </w:rPr>
              <w:t>Мероприятия, направленные на развитие конкурентоспособности товаров, работ, услуг субъектов малого и среднего предпринимательства</w:t>
            </w:r>
          </w:p>
        </w:tc>
      </w:tr>
      <w:tr w:rsidR="00750F99" w:rsidRPr="00A74893" w:rsidTr="00F407C7">
        <w:trPr>
          <w:trHeight w:val="3810"/>
        </w:trPr>
        <w:tc>
          <w:tcPr>
            <w:tcW w:w="221" w:type="pct"/>
          </w:tcPr>
          <w:p w:rsidR="00750F99" w:rsidRPr="00A74893" w:rsidRDefault="00A93AC7" w:rsidP="00117DE9">
            <w:pPr>
              <w:pStyle w:val="ConsPlusNormal"/>
              <w:jc w:val="center"/>
              <w:rPr>
                <w:rFonts w:ascii="Times New Roman" w:hAnsi="Times New Roman" w:cs="Times New Roman"/>
                <w:szCs w:val="22"/>
              </w:rPr>
            </w:pPr>
            <w:r w:rsidRPr="00A74893">
              <w:rPr>
                <w:rFonts w:ascii="Times New Roman" w:hAnsi="Times New Roman" w:cs="Times New Roman"/>
                <w:szCs w:val="22"/>
              </w:rPr>
              <w:lastRenderedPageBreak/>
              <w:t>3.1</w:t>
            </w:r>
            <w:r w:rsidR="00750F99" w:rsidRPr="00A74893">
              <w:rPr>
                <w:rFonts w:ascii="Times New Roman" w:hAnsi="Times New Roman" w:cs="Times New Roman"/>
                <w:szCs w:val="22"/>
              </w:rPr>
              <w:t>.1.</w:t>
            </w:r>
          </w:p>
        </w:tc>
        <w:tc>
          <w:tcPr>
            <w:tcW w:w="975" w:type="pct"/>
            <w:tcBorders>
              <w:top w:val="single" w:sz="4" w:space="0" w:color="auto"/>
              <w:left w:val="single" w:sz="4" w:space="0" w:color="auto"/>
              <w:bottom w:val="single" w:sz="4" w:space="0" w:color="auto"/>
              <w:right w:val="single" w:sz="4" w:space="0" w:color="auto"/>
            </w:tcBorders>
          </w:tcPr>
          <w:p w:rsidR="00591805" w:rsidRPr="00A74893" w:rsidRDefault="00591805" w:rsidP="005115D4">
            <w:pPr>
              <w:shd w:val="clear" w:color="auto" w:fill="FFFFFF"/>
              <w:rPr>
                <w:rFonts w:ascii="yandex-sans" w:hAnsi="yandex-sans"/>
                <w:color w:val="000000"/>
              </w:rPr>
            </w:pPr>
            <w:r w:rsidRPr="00A74893">
              <w:rPr>
                <w:rFonts w:ascii="yandex-sans" w:hAnsi="yandex-sans"/>
                <w:color w:val="000000"/>
                <w:sz w:val="22"/>
                <w:szCs w:val="22"/>
              </w:rPr>
              <w:t>Осуществление закупок в соответствии с</w:t>
            </w:r>
          </w:p>
          <w:p w:rsidR="00591805" w:rsidRPr="00A74893" w:rsidRDefault="00591805" w:rsidP="005115D4">
            <w:pPr>
              <w:shd w:val="clear" w:color="auto" w:fill="FFFFFF"/>
              <w:rPr>
                <w:rFonts w:ascii="yandex-sans" w:hAnsi="yandex-sans"/>
                <w:color w:val="000000"/>
              </w:rPr>
            </w:pPr>
            <w:r w:rsidRPr="00A74893">
              <w:rPr>
                <w:rFonts w:ascii="yandex-sans" w:hAnsi="yandex-sans"/>
                <w:color w:val="000000"/>
                <w:sz w:val="22"/>
                <w:szCs w:val="22"/>
              </w:rPr>
              <w:t>Федеральным законом от 5 апреля 2013 года</w:t>
            </w:r>
          </w:p>
          <w:p w:rsidR="00591805" w:rsidRPr="00A74893" w:rsidRDefault="00591805" w:rsidP="005115D4">
            <w:pPr>
              <w:shd w:val="clear" w:color="auto" w:fill="FFFFFF"/>
              <w:rPr>
                <w:rFonts w:ascii="yandex-sans" w:hAnsi="yandex-sans"/>
                <w:color w:val="000000"/>
              </w:rPr>
            </w:pPr>
            <w:r w:rsidRPr="00A74893">
              <w:rPr>
                <w:rFonts w:ascii="yandex-sans" w:hAnsi="yandex-sans"/>
                <w:color w:val="000000"/>
                <w:sz w:val="22"/>
                <w:szCs w:val="22"/>
              </w:rPr>
              <w:t>№ 44-ФЗ «О контрактной системе в сфере</w:t>
            </w:r>
          </w:p>
          <w:p w:rsidR="00591805" w:rsidRPr="00A74893" w:rsidRDefault="00591805" w:rsidP="005115D4">
            <w:pPr>
              <w:shd w:val="clear" w:color="auto" w:fill="FFFFFF"/>
              <w:rPr>
                <w:rFonts w:ascii="yandex-sans" w:hAnsi="yandex-sans"/>
                <w:color w:val="000000"/>
              </w:rPr>
            </w:pPr>
            <w:r w:rsidRPr="00A74893">
              <w:rPr>
                <w:rFonts w:ascii="yandex-sans" w:hAnsi="yandex-sans"/>
                <w:color w:val="000000"/>
                <w:sz w:val="22"/>
                <w:szCs w:val="22"/>
              </w:rPr>
              <w:t>закупок товаров, работ, услуг для обеспечения</w:t>
            </w:r>
          </w:p>
          <w:p w:rsidR="00591805" w:rsidRPr="00A74893" w:rsidRDefault="00591805" w:rsidP="005115D4">
            <w:pPr>
              <w:shd w:val="clear" w:color="auto" w:fill="FFFFFF"/>
              <w:rPr>
                <w:rFonts w:ascii="yandex-sans" w:hAnsi="yandex-sans"/>
                <w:color w:val="000000"/>
              </w:rPr>
            </w:pPr>
            <w:r w:rsidRPr="00A74893">
              <w:rPr>
                <w:rFonts w:ascii="yandex-sans" w:hAnsi="yandex-sans"/>
                <w:color w:val="000000"/>
                <w:sz w:val="22"/>
                <w:szCs w:val="22"/>
              </w:rPr>
              <w:t>государственных и муниципальных нужд»</w:t>
            </w:r>
          </w:p>
          <w:p w:rsidR="00591805" w:rsidRPr="00A74893" w:rsidRDefault="00591805" w:rsidP="005115D4">
            <w:pPr>
              <w:shd w:val="clear" w:color="auto" w:fill="FFFFFF"/>
              <w:rPr>
                <w:rFonts w:ascii="yandex-sans" w:hAnsi="yandex-sans"/>
                <w:color w:val="000000"/>
              </w:rPr>
            </w:pPr>
            <w:r w:rsidRPr="00A74893">
              <w:rPr>
                <w:rFonts w:ascii="yandex-sans" w:hAnsi="yandex-sans"/>
                <w:color w:val="000000"/>
                <w:sz w:val="22"/>
                <w:szCs w:val="22"/>
              </w:rPr>
              <w:t>(далее – Федеральный закон № 44-ФЗ) для</w:t>
            </w:r>
          </w:p>
          <w:p w:rsidR="00750F99" w:rsidRPr="00A74893" w:rsidRDefault="00591805" w:rsidP="005115D4">
            <w:pPr>
              <w:shd w:val="clear" w:color="auto" w:fill="FFFFFF"/>
            </w:pPr>
            <w:r w:rsidRPr="00A74893">
              <w:rPr>
                <w:rFonts w:ascii="yandex-sans" w:hAnsi="yandex-sans"/>
                <w:color w:val="000000"/>
                <w:sz w:val="22"/>
                <w:szCs w:val="22"/>
              </w:rPr>
              <w:t>субъектов малого предпринимательства</w:t>
            </w:r>
          </w:p>
        </w:tc>
        <w:tc>
          <w:tcPr>
            <w:tcW w:w="445" w:type="pct"/>
            <w:gridSpan w:val="2"/>
            <w:tcBorders>
              <w:top w:val="single" w:sz="4" w:space="0" w:color="auto"/>
              <w:left w:val="single" w:sz="4" w:space="0" w:color="auto"/>
              <w:bottom w:val="single" w:sz="4" w:space="0" w:color="auto"/>
              <w:right w:val="single" w:sz="4" w:space="0" w:color="auto"/>
            </w:tcBorders>
          </w:tcPr>
          <w:p w:rsidR="00750F99" w:rsidRPr="00A74893" w:rsidRDefault="00750F99" w:rsidP="00117DE9">
            <w:pPr>
              <w:adjustRightInd w:val="0"/>
              <w:jc w:val="center"/>
            </w:pPr>
            <w:r w:rsidRPr="00A74893">
              <w:rPr>
                <w:sz w:val="22"/>
                <w:szCs w:val="22"/>
              </w:rPr>
              <w:t>Ежегодно</w:t>
            </w:r>
          </w:p>
        </w:tc>
        <w:tc>
          <w:tcPr>
            <w:tcW w:w="796" w:type="pct"/>
            <w:tcBorders>
              <w:top w:val="single" w:sz="4" w:space="0" w:color="auto"/>
              <w:left w:val="single" w:sz="4" w:space="0" w:color="auto"/>
              <w:bottom w:val="single" w:sz="4" w:space="0" w:color="auto"/>
              <w:right w:val="single" w:sz="4" w:space="0" w:color="auto"/>
            </w:tcBorders>
          </w:tcPr>
          <w:p w:rsidR="00750F99" w:rsidRPr="00A74893" w:rsidRDefault="00591805" w:rsidP="00117DE9">
            <w:r w:rsidRPr="00A74893">
              <w:rPr>
                <w:sz w:val="22"/>
                <w:szCs w:val="22"/>
              </w:rPr>
              <w:t>Доля муниципальных контрактов, заключенных с субъектами малого предпринимательства, в годовом объеме закупок, %</w:t>
            </w:r>
          </w:p>
        </w:tc>
        <w:tc>
          <w:tcPr>
            <w:tcW w:w="350" w:type="pct"/>
          </w:tcPr>
          <w:p w:rsidR="00750F99" w:rsidRPr="00A74893" w:rsidRDefault="005115D4" w:rsidP="005115D4">
            <w:pPr>
              <w:adjustRightInd w:val="0"/>
              <w:jc w:val="center"/>
            </w:pPr>
            <w:r w:rsidRPr="00A74893">
              <w:rPr>
                <w:sz w:val="22"/>
                <w:szCs w:val="22"/>
              </w:rPr>
              <w:t>32,3</w:t>
            </w:r>
          </w:p>
        </w:tc>
        <w:tc>
          <w:tcPr>
            <w:tcW w:w="354" w:type="pct"/>
          </w:tcPr>
          <w:p w:rsidR="00750F99" w:rsidRPr="00A74893" w:rsidRDefault="005115D4" w:rsidP="00117DE9">
            <w:pPr>
              <w:adjustRightInd w:val="0"/>
              <w:jc w:val="center"/>
            </w:pPr>
            <w:r w:rsidRPr="00A74893">
              <w:rPr>
                <w:sz w:val="22"/>
                <w:szCs w:val="22"/>
              </w:rPr>
              <w:t>Не менее 15</w:t>
            </w:r>
          </w:p>
        </w:tc>
        <w:tc>
          <w:tcPr>
            <w:tcW w:w="357" w:type="pct"/>
          </w:tcPr>
          <w:p w:rsidR="00750F99" w:rsidRPr="00A74893" w:rsidRDefault="005115D4" w:rsidP="00117DE9">
            <w:pPr>
              <w:adjustRightInd w:val="0"/>
              <w:jc w:val="center"/>
            </w:pPr>
            <w:r w:rsidRPr="00A74893">
              <w:rPr>
                <w:sz w:val="22"/>
                <w:szCs w:val="22"/>
              </w:rPr>
              <w:t>Не менее 15</w:t>
            </w:r>
          </w:p>
        </w:tc>
        <w:tc>
          <w:tcPr>
            <w:tcW w:w="355" w:type="pct"/>
          </w:tcPr>
          <w:p w:rsidR="00750F99" w:rsidRPr="00A74893" w:rsidRDefault="005115D4" w:rsidP="00117DE9">
            <w:pPr>
              <w:adjustRightInd w:val="0"/>
              <w:jc w:val="center"/>
            </w:pPr>
            <w:r w:rsidRPr="00A74893">
              <w:rPr>
                <w:sz w:val="22"/>
                <w:szCs w:val="22"/>
              </w:rPr>
              <w:t>Не менее 15</w:t>
            </w:r>
          </w:p>
        </w:tc>
        <w:tc>
          <w:tcPr>
            <w:tcW w:w="1147" w:type="pct"/>
          </w:tcPr>
          <w:p w:rsidR="00750F99" w:rsidRPr="00A74893" w:rsidRDefault="005115D4" w:rsidP="00117DE9">
            <w:pPr>
              <w:adjustRightInd w:val="0"/>
            </w:pPr>
            <w:r w:rsidRPr="00A74893">
              <w:rPr>
                <w:sz w:val="22"/>
                <w:szCs w:val="22"/>
              </w:rPr>
              <w:t>Муниципальные заказчики Черемховского районного муниципального образования</w:t>
            </w:r>
          </w:p>
        </w:tc>
      </w:tr>
      <w:tr w:rsidR="002F01B2" w:rsidRPr="00A74893" w:rsidTr="002F01B2">
        <w:trPr>
          <w:trHeight w:val="249"/>
        </w:trPr>
        <w:tc>
          <w:tcPr>
            <w:tcW w:w="221" w:type="pct"/>
          </w:tcPr>
          <w:p w:rsidR="002F01B2" w:rsidRPr="00A74893" w:rsidRDefault="002F01B2" w:rsidP="00117DE9">
            <w:pPr>
              <w:pStyle w:val="ConsPlusNormal"/>
              <w:jc w:val="center"/>
              <w:rPr>
                <w:rFonts w:ascii="Times New Roman" w:hAnsi="Times New Roman" w:cs="Times New Roman"/>
                <w:szCs w:val="22"/>
              </w:rPr>
            </w:pPr>
            <w:r w:rsidRPr="00A74893">
              <w:rPr>
                <w:rFonts w:ascii="Times New Roman" w:hAnsi="Times New Roman" w:cs="Times New Roman"/>
                <w:szCs w:val="22"/>
              </w:rPr>
              <w:t>3.2.</w:t>
            </w:r>
          </w:p>
        </w:tc>
        <w:tc>
          <w:tcPr>
            <w:tcW w:w="4779" w:type="pct"/>
            <w:gridSpan w:val="9"/>
            <w:tcBorders>
              <w:top w:val="single" w:sz="4" w:space="0" w:color="auto"/>
              <w:left w:val="single" w:sz="4" w:space="0" w:color="auto"/>
              <w:bottom w:val="single" w:sz="4" w:space="0" w:color="auto"/>
            </w:tcBorders>
          </w:tcPr>
          <w:p w:rsidR="002F01B2" w:rsidRPr="00A74893" w:rsidRDefault="002F01B2" w:rsidP="002F01B2">
            <w:pPr>
              <w:adjustRightInd w:val="0"/>
              <w:rPr>
                <w:rFonts w:ascii="yandex-sans" w:hAnsi="yandex-sans"/>
                <w:color w:val="000000"/>
              </w:rPr>
            </w:pPr>
            <w:r w:rsidRPr="00A74893">
              <w:rPr>
                <w:rFonts w:ascii="yandex-sans" w:hAnsi="yandex-sans"/>
                <w:color w:val="000000"/>
                <w:sz w:val="22"/>
                <w:szCs w:val="22"/>
              </w:rPr>
              <w:t>Обеспечение равных условий доступа к информации о находящемся в собственности муниципальных образований имуществе, в том числе включаемом в перечни для</w:t>
            </w:r>
            <w:r w:rsidRPr="00A74893">
              <w:t xml:space="preserve"> </w:t>
            </w:r>
            <w:r w:rsidRPr="00A74893">
              <w:rPr>
                <w:rFonts w:ascii="yandex-sans" w:hAnsi="yandex-sans"/>
                <w:color w:val="000000"/>
                <w:sz w:val="22"/>
                <w:szCs w:val="22"/>
              </w:rPr>
              <w:t>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tc>
      </w:tr>
      <w:tr w:rsidR="00F407C7" w:rsidRPr="00A74893" w:rsidTr="00F407C7">
        <w:trPr>
          <w:trHeight w:val="345"/>
        </w:trPr>
        <w:tc>
          <w:tcPr>
            <w:tcW w:w="221" w:type="pct"/>
          </w:tcPr>
          <w:p w:rsidR="00F407C7" w:rsidRPr="00A74893" w:rsidRDefault="00F407C7" w:rsidP="00117DE9">
            <w:pPr>
              <w:pStyle w:val="ConsPlusNormal"/>
              <w:jc w:val="center"/>
              <w:rPr>
                <w:rFonts w:ascii="Times New Roman" w:hAnsi="Times New Roman" w:cs="Times New Roman"/>
                <w:szCs w:val="22"/>
              </w:rPr>
            </w:pPr>
            <w:r w:rsidRPr="00A74893">
              <w:rPr>
                <w:rFonts w:ascii="Times New Roman" w:hAnsi="Times New Roman" w:cs="Times New Roman"/>
                <w:szCs w:val="22"/>
              </w:rPr>
              <w:t>3.2</w:t>
            </w:r>
            <w:r w:rsidR="00D2034C" w:rsidRPr="00A74893">
              <w:rPr>
                <w:rFonts w:ascii="Times New Roman" w:hAnsi="Times New Roman" w:cs="Times New Roman"/>
                <w:szCs w:val="22"/>
              </w:rPr>
              <w:t>.</w:t>
            </w:r>
            <w:r w:rsidRPr="00A74893">
              <w:rPr>
                <w:rFonts w:ascii="Times New Roman" w:hAnsi="Times New Roman" w:cs="Times New Roman"/>
                <w:szCs w:val="22"/>
              </w:rPr>
              <w:t>1</w:t>
            </w:r>
          </w:p>
        </w:tc>
        <w:tc>
          <w:tcPr>
            <w:tcW w:w="975" w:type="pct"/>
            <w:tcBorders>
              <w:top w:val="single" w:sz="4" w:space="0" w:color="auto"/>
              <w:left w:val="single" w:sz="4" w:space="0" w:color="auto"/>
              <w:bottom w:val="single" w:sz="4" w:space="0" w:color="auto"/>
              <w:right w:val="single" w:sz="4" w:space="0" w:color="auto"/>
            </w:tcBorders>
          </w:tcPr>
          <w:p w:rsidR="00F407C7" w:rsidRPr="00A74893" w:rsidRDefault="00F407C7" w:rsidP="00117DE9">
            <w:pPr>
              <w:adjustRightInd w:val="0"/>
              <w:rPr>
                <w:rFonts w:ascii="yandex-sans" w:hAnsi="yandex-sans"/>
                <w:color w:val="000000"/>
              </w:rPr>
            </w:pPr>
            <w:r w:rsidRPr="00A74893">
              <w:rPr>
                <w:rFonts w:ascii="yandex-sans" w:hAnsi="yandex-sans"/>
                <w:color w:val="000000"/>
                <w:sz w:val="22"/>
                <w:szCs w:val="22"/>
              </w:rPr>
              <w:t>Имущественная поддержка субъектов малого и среднего предпринимательства</w:t>
            </w:r>
          </w:p>
        </w:tc>
        <w:tc>
          <w:tcPr>
            <w:tcW w:w="445" w:type="pct"/>
            <w:gridSpan w:val="2"/>
            <w:tcBorders>
              <w:top w:val="single" w:sz="4" w:space="0" w:color="auto"/>
              <w:left w:val="single" w:sz="4" w:space="0" w:color="auto"/>
              <w:bottom w:val="single" w:sz="4" w:space="0" w:color="auto"/>
              <w:right w:val="single" w:sz="4" w:space="0" w:color="auto"/>
            </w:tcBorders>
          </w:tcPr>
          <w:p w:rsidR="00F407C7" w:rsidRPr="00A74893" w:rsidRDefault="00F407C7" w:rsidP="00117DE9">
            <w:pPr>
              <w:adjustRightInd w:val="0"/>
              <w:jc w:val="center"/>
            </w:pPr>
            <w:r w:rsidRPr="00A74893">
              <w:rPr>
                <w:sz w:val="22"/>
                <w:szCs w:val="22"/>
              </w:rPr>
              <w:t>Ежегодно</w:t>
            </w:r>
          </w:p>
        </w:tc>
        <w:tc>
          <w:tcPr>
            <w:tcW w:w="796" w:type="pct"/>
            <w:tcBorders>
              <w:top w:val="single" w:sz="4" w:space="0" w:color="auto"/>
              <w:left w:val="single" w:sz="4" w:space="0" w:color="auto"/>
              <w:bottom w:val="single" w:sz="4" w:space="0" w:color="auto"/>
              <w:right w:val="single" w:sz="4" w:space="0" w:color="auto"/>
            </w:tcBorders>
          </w:tcPr>
          <w:p w:rsidR="00F407C7" w:rsidRPr="00A74893" w:rsidRDefault="00F407C7" w:rsidP="00117DE9">
            <w:r w:rsidRPr="00A74893">
              <w:rPr>
                <w:sz w:val="22"/>
                <w:szCs w:val="22"/>
              </w:rPr>
              <w:t xml:space="preserve">Количество объектов муниципального имущества, включенных в перечень муниципального имущества для предоставления во владение и (или) пользование на долгосрочной основе субъектам малого и </w:t>
            </w:r>
            <w:r w:rsidRPr="00A74893">
              <w:rPr>
                <w:sz w:val="22"/>
                <w:szCs w:val="22"/>
              </w:rPr>
              <w:lastRenderedPageBreak/>
              <w:t>среднего предпринимательства и организациям, образующим инфраструктуру поддержки таковых субъектов, единиц</w:t>
            </w:r>
          </w:p>
        </w:tc>
        <w:tc>
          <w:tcPr>
            <w:tcW w:w="350" w:type="pct"/>
          </w:tcPr>
          <w:p w:rsidR="00F407C7" w:rsidRPr="00A74893" w:rsidRDefault="00D2034C" w:rsidP="005115D4">
            <w:pPr>
              <w:adjustRightInd w:val="0"/>
              <w:jc w:val="center"/>
            </w:pPr>
            <w:r w:rsidRPr="00A74893">
              <w:rPr>
                <w:sz w:val="22"/>
                <w:szCs w:val="22"/>
              </w:rPr>
              <w:lastRenderedPageBreak/>
              <w:t>7</w:t>
            </w:r>
          </w:p>
        </w:tc>
        <w:tc>
          <w:tcPr>
            <w:tcW w:w="354" w:type="pct"/>
          </w:tcPr>
          <w:p w:rsidR="00F407C7" w:rsidRPr="00A74893" w:rsidRDefault="00D2034C" w:rsidP="00117DE9">
            <w:pPr>
              <w:adjustRightInd w:val="0"/>
              <w:jc w:val="center"/>
            </w:pPr>
            <w:r w:rsidRPr="00A74893">
              <w:rPr>
                <w:sz w:val="22"/>
                <w:szCs w:val="22"/>
              </w:rPr>
              <w:t>7</w:t>
            </w:r>
          </w:p>
        </w:tc>
        <w:tc>
          <w:tcPr>
            <w:tcW w:w="357" w:type="pct"/>
          </w:tcPr>
          <w:p w:rsidR="00F407C7" w:rsidRPr="00A74893" w:rsidRDefault="00D2034C" w:rsidP="00117DE9">
            <w:pPr>
              <w:adjustRightInd w:val="0"/>
              <w:jc w:val="center"/>
            </w:pPr>
            <w:r w:rsidRPr="00A74893">
              <w:rPr>
                <w:sz w:val="22"/>
                <w:szCs w:val="22"/>
              </w:rPr>
              <w:t>8</w:t>
            </w:r>
          </w:p>
        </w:tc>
        <w:tc>
          <w:tcPr>
            <w:tcW w:w="355" w:type="pct"/>
          </w:tcPr>
          <w:p w:rsidR="00F407C7" w:rsidRPr="00A74893" w:rsidRDefault="00D2034C" w:rsidP="00117DE9">
            <w:pPr>
              <w:adjustRightInd w:val="0"/>
              <w:jc w:val="center"/>
            </w:pPr>
            <w:r w:rsidRPr="00A74893">
              <w:rPr>
                <w:sz w:val="22"/>
                <w:szCs w:val="22"/>
              </w:rPr>
              <w:t>9</w:t>
            </w:r>
          </w:p>
        </w:tc>
        <w:tc>
          <w:tcPr>
            <w:tcW w:w="1147" w:type="pct"/>
          </w:tcPr>
          <w:p w:rsidR="00F407C7" w:rsidRPr="00A74893" w:rsidRDefault="00D2034C" w:rsidP="00117DE9">
            <w:pPr>
              <w:adjustRightInd w:val="0"/>
            </w:pPr>
            <w:r w:rsidRPr="00A74893">
              <w:rPr>
                <w:sz w:val="22"/>
                <w:szCs w:val="22"/>
              </w:rPr>
              <w:t>Комитет по управлению муниципальным имуществом ЧРМО</w:t>
            </w:r>
          </w:p>
        </w:tc>
      </w:tr>
    </w:tbl>
    <w:p w:rsidR="00433B05" w:rsidRPr="00A74893" w:rsidRDefault="00433B05" w:rsidP="00B56281">
      <w:pPr>
        <w:jc w:val="right"/>
        <w:rPr>
          <w:sz w:val="27"/>
          <w:szCs w:val="27"/>
        </w:rPr>
      </w:pPr>
    </w:p>
    <w:sectPr w:rsidR="00433B05" w:rsidRPr="00A74893" w:rsidSect="005254A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5E" w:rsidRDefault="0069715E" w:rsidP="00C17813">
      <w:r>
        <w:separator/>
      </w:r>
    </w:p>
  </w:endnote>
  <w:endnote w:type="continuationSeparator" w:id="0">
    <w:p w:rsidR="0069715E" w:rsidRDefault="0069715E"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5E" w:rsidRDefault="0069715E" w:rsidP="00C17813">
      <w:r>
        <w:separator/>
      </w:r>
    </w:p>
  </w:footnote>
  <w:footnote w:type="continuationSeparator" w:id="0">
    <w:p w:rsidR="0069715E" w:rsidRDefault="0069715E" w:rsidP="00C178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813"/>
    <w:rsid w:val="00006058"/>
    <w:rsid w:val="000832FB"/>
    <w:rsid w:val="00092B73"/>
    <w:rsid w:val="000A4DBA"/>
    <w:rsid w:val="00120663"/>
    <w:rsid w:val="001237D1"/>
    <w:rsid w:val="001305AB"/>
    <w:rsid w:val="00156212"/>
    <w:rsid w:val="001812BD"/>
    <w:rsid w:val="001A6D4F"/>
    <w:rsid w:val="001F1AD3"/>
    <w:rsid w:val="00223FDE"/>
    <w:rsid w:val="002718B6"/>
    <w:rsid w:val="00284573"/>
    <w:rsid w:val="002D223D"/>
    <w:rsid w:val="002F01B2"/>
    <w:rsid w:val="003173BA"/>
    <w:rsid w:val="00317586"/>
    <w:rsid w:val="003526E7"/>
    <w:rsid w:val="00352B4F"/>
    <w:rsid w:val="00386793"/>
    <w:rsid w:val="003B3089"/>
    <w:rsid w:val="003C3DEB"/>
    <w:rsid w:val="003C4F1B"/>
    <w:rsid w:val="00403D84"/>
    <w:rsid w:val="00410894"/>
    <w:rsid w:val="004150D9"/>
    <w:rsid w:val="0043254E"/>
    <w:rsid w:val="00433420"/>
    <w:rsid w:val="00433B05"/>
    <w:rsid w:val="00442ABC"/>
    <w:rsid w:val="00475272"/>
    <w:rsid w:val="004A36C7"/>
    <w:rsid w:val="004E5140"/>
    <w:rsid w:val="004E5C97"/>
    <w:rsid w:val="005115D4"/>
    <w:rsid w:val="0052000E"/>
    <w:rsid w:val="005254A1"/>
    <w:rsid w:val="00537E3F"/>
    <w:rsid w:val="00551D5E"/>
    <w:rsid w:val="00591805"/>
    <w:rsid w:val="0062744E"/>
    <w:rsid w:val="006333ED"/>
    <w:rsid w:val="006338A6"/>
    <w:rsid w:val="006422D2"/>
    <w:rsid w:val="0066764A"/>
    <w:rsid w:val="00673070"/>
    <w:rsid w:val="0069715E"/>
    <w:rsid w:val="006B1CF3"/>
    <w:rsid w:val="006B4555"/>
    <w:rsid w:val="0071010E"/>
    <w:rsid w:val="0071708E"/>
    <w:rsid w:val="007435AE"/>
    <w:rsid w:val="00750F99"/>
    <w:rsid w:val="0075618A"/>
    <w:rsid w:val="007663A7"/>
    <w:rsid w:val="007801C4"/>
    <w:rsid w:val="007A1A5F"/>
    <w:rsid w:val="007B47EC"/>
    <w:rsid w:val="0080284B"/>
    <w:rsid w:val="00846DBA"/>
    <w:rsid w:val="008772BE"/>
    <w:rsid w:val="00877D2E"/>
    <w:rsid w:val="00887D75"/>
    <w:rsid w:val="008D502A"/>
    <w:rsid w:val="008E76EE"/>
    <w:rsid w:val="00962CDF"/>
    <w:rsid w:val="00981DA4"/>
    <w:rsid w:val="009A4593"/>
    <w:rsid w:val="009A4FFF"/>
    <w:rsid w:val="009D1753"/>
    <w:rsid w:val="00A41271"/>
    <w:rsid w:val="00A74893"/>
    <w:rsid w:val="00A81F6E"/>
    <w:rsid w:val="00A91491"/>
    <w:rsid w:val="00A93AC7"/>
    <w:rsid w:val="00AD5F85"/>
    <w:rsid w:val="00B23C3D"/>
    <w:rsid w:val="00B55EF7"/>
    <w:rsid w:val="00B56281"/>
    <w:rsid w:val="00BA1D44"/>
    <w:rsid w:val="00BD6004"/>
    <w:rsid w:val="00C17813"/>
    <w:rsid w:val="00C24D84"/>
    <w:rsid w:val="00C52812"/>
    <w:rsid w:val="00C63AA6"/>
    <w:rsid w:val="00CC2C18"/>
    <w:rsid w:val="00CE31CF"/>
    <w:rsid w:val="00D2034C"/>
    <w:rsid w:val="00D20DB5"/>
    <w:rsid w:val="00D63BC7"/>
    <w:rsid w:val="00DC1A73"/>
    <w:rsid w:val="00DE5D3A"/>
    <w:rsid w:val="00E2036D"/>
    <w:rsid w:val="00E57D15"/>
    <w:rsid w:val="00EB65ED"/>
    <w:rsid w:val="00EC0B07"/>
    <w:rsid w:val="00ED2AB5"/>
    <w:rsid w:val="00EF4593"/>
    <w:rsid w:val="00EF571D"/>
    <w:rsid w:val="00EF6CC6"/>
    <w:rsid w:val="00F01606"/>
    <w:rsid w:val="00F208B2"/>
    <w:rsid w:val="00F407C7"/>
    <w:rsid w:val="00F41803"/>
    <w:rsid w:val="00F62044"/>
    <w:rsid w:val="00F65718"/>
    <w:rsid w:val="00F75A96"/>
    <w:rsid w:val="00F825DF"/>
    <w:rsid w:val="00F9445D"/>
    <w:rsid w:val="00FC1DBF"/>
    <w:rsid w:val="00FC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AF58"/>
  <w15:docId w15:val="{E44E0EA9-63A1-420E-8DD1-D790148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254A1"/>
    <w:pPr>
      <w:widowControl w:val="0"/>
      <w:autoSpaceDE w:val="0"/>
      <w:autoSpaceDN w:val="0"/>
      <w:spacing w:after="0" w:line="240" w:lineRule="auto"/>
    </w:pPr>
    <w:rPr>
      <w:rFonts w:ascii="Calibri" w:eastAsia="Times New Roman" w:hAnsi="Calibri" w:cs="Calibri"/>
      <w:szCs w:val="20"/>
      <w:lang w:eastAsia="ru-RU"/>
    </w:rPr>
  </w:style>
  <w:style w:type="paragraph" w:styleId="ae">
    <w:name w:val="footnote text"/>
    <w:basedOn w:val="a"/>
    <w:link w:val="af"/>
    <w:uiPriority w:val="99"/>
    <w:semiHidden/>
    <w:unhideWhenUsed/>
    <w:rsid w:val="005254A1"/>
    <w:pPr>
      <w:autoSpaceDE w:val="0"/>
      <w:autoSpaceDN w:val="0"/>
    </w:pPr>
    <w:rPr>
      <w:sz w:val="20"/>
      <w:szCs w:val="20"/>
    </w:rPr>
  </w:style>
  <w:style w:type="character" w:customStyle="1" w:styleId="af">
    <w:name w:val="Текст сноски Знак"/>
    <w:basedOn w:val="a0"/>
    <w:link w:val="ae"/>
    <w:uiPriority w:val="99"/>
    <w:semiHidden/>
    <w:rsid w:val="005254A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5254A1"/>
    <w:rPr>
      <w:vertAlign w:val="superscript"/>
    </w:rPr>
  </w:style>
  <w:style w:type="character" w:customStyle="1" w:styleId="2">
    <w:name w:val="Основной текст (2)"/>
    <w:basedOn w:val="a0"/>
    <w:uiPriority w:val="99"/>
    <w:rsid w:val="00750F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945">
      <w:bodyDiv w:val="1"/>
      <w:marLeft w:val="0"/>
      <w:marRight w:val="0"/>
      <w:marTop w:val="0"/>
      <w:marBottom w:val="0"/>
      <w:divBdr>
        <w:top w:val="none" w:sz="0" w:space="0" w:color="auto"/>
        <w:left w:val="none" w:sz="0" w:space="0" w:color="auto"/>
        <w:bottom w:val="none" w:sz="0" w:space="0" w:color="auto"/>
        <w:right w:val="none" w:sz="0" w:space="0" w:color="auto"/>
      </w:divBdr>
    </w:div>
    <w:div w:id="599264372">
      <w:bodyDiv w:val="1"/>
      <w:marLeft w:val="0"/>
      <w:marRight w:val="0"/>
      <w:marTop w:val="0"/>
      <w:marBottom w:val="0"/>
      <w:divBdr>
        <w:top w:val="none" w:sz="0" w:space="0" w:color="auto"/>
        <w:left w:val="none" w:sz="0" w:space="0" w:color="auto"/>
        <w:bottom w:val="none" w:sz="0" w:space="0" w:color="auto"/>
        <w:right w:val="none" w:sz="0" w:space="0" w:color="auto"/>
      </w:divBdr>
    </w:div>
    <w:div w:id="1135490693">
      <w:bodyDiv w:val="1"/>
      <w:marLeft w:val="0"/>
      <w:marRight w:val="0"/>
      <w:marTop w:val="0"/>
      <w:marBottom w:val="0"/>
      <w:divBdr>
        <w:top w:val="none" w:sz="0" w:space="0" w:color="auto"/>
        <w:left w:val="none" w:sz="0" w:space="0" w:color="auto"/>
        <w:bottom w:val="none" w:sz="0" w:space="0" w:color="auto"/>
        <w:right w:val="none" w:sz="0" w:space="0" w:color="auto"/>
      </w:divBdr>
    </w:div>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1C9E6-F43C-4EE7-9EAB-9156427F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9</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RePack by Diakov</cp:lastModifiedBy>
  <cp:revision>18</cp:revision>
  <cp:lastPrinted>2020-03-26T08:50:00Z</cp:lastPrinted>
  <dcterms:created xsi:type="dcterms:W3CDTF">2019-05-23T06:14:00Z</dcterms:created>
  <dcterms:modified xsi:type="dcterms:W3CDTF">2020-03-27T04:12:00Z</dcterms:modified>
</cp:coreProperties>
</file>